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3447" w:right="242" w:hanging="2266"/>
        <w:jc w:val="left"/>
        <w:rPr>
          <w:b/>
          <w:sz w:val="22"/>
        </w:rPr>
      </w:pPr>
      <w:r>
        <w:rPr>
          <w:b/>
          <w:sz w:val="28"/>
        </w:rPr>
        <w:t>R</w:t>
      </w:r>
      <w:r>
        <w:rPr>
          <w:b/>
          <w:sz w:val="22"/>
        </w:rPr>
        <w:t>EQUIRED </w:t>
      </w:r>
      <w:r>
        <w:rPr>
          <w:b/>
          <w:sz w:val="28"/>
        </w:rPr>
        <w:t>I</w:t>
      </w:r>
      <w:r>
        <w:rPr>
          <w:b/>
          <w:sz w:val="22"/>
        </w:rPr>
        <w:t>NFORMATION</w:t>
      </w:r>
      <w:r>
        <w:rPr>
          <w:b/>
          <w:sz w:val="28"/>
        </w:rPr>
        <w:t>* </w:t>
      </w:r>
      <w:r>
        <w:rPr>
          <w:b/>
          <w:sz w:val="22"/>
        </w:rPr>
        <w:t>FOR </w:t>
      </w:r>
      <w:r>
        <w:rPr>
          <w:b/>
          <w:sz w:val="28"/>
        </w:rPr>
        <w:t>MPH </w:t>
      </w:r>
      <w:r>
        <w:rPr>
          <w:b/>
          <w:sz w:val="22"/>
        </w:rPr>
        <w:t>STUDENTS TO ENSURE PASSAGE THROUGH THE </w:t>
      </w:r>
      <w:r>
        <w:rPr>
          <w:b/>
          <w:sz w:val="28"/>
        </w:rPr>
        <w:t>G</w:t>
      </w:r>
      <w:r>
        <w:rPr>
          <w:b/>
          <w:sz w:val="22"/>
        </w:rPr>
        <w:t>ATE </w:t>
      </w:r>
      <w:r>
        <w:rPr>
          <w:b/>
          <w:sz w:val="28"/>
        </w:rPr>
        <w:t>S</w:t>
      </w:r>
      <w:r>
        <w:rPr>
          <w:b/>
          <w:sz w:val="22"/>
        </w:rPr>
        <w:t>YSTEM</w:t>
      </w:r>
    </w:p>
    <w:p>
      <w:pPr>
        <w:pStyle w:val="BodyText"/>
        <w:spacing w:before="8"/>
        <w:ind w:left="0"/>
        <w:rPr>
          <w:b/>
          <w:sz w:val="27"/>
        </w:rPr>
      </w:pPr>
    </w:p>
    <w:p>
      <w:pPr>
        <w:pStyle w:val="BodyText"/>
        <w:spacing w:before="0"/>
        <w:ind w:right="242"/>
      </w:pPr>
      <w:r>
        <w:rPr/>
        <w:t>A Gate System for the MPH program began in 2015, and to improve success a minor change to the timing of the Competency Exam within the Gates became effective 10/1/2016. All students will be informed of the Gates and Competency Exam each semester. The Portfolio and Competency Exam are hosted on the MPH Student concourse. Students will be added to the concourse by the Practicum Coordinator (or designee) upon successful completion of HLTH</w:t>
      </w:r>
    </w:p>
    <w:p>
      <w:pPr>
        <w:pStyle w:val="BodyText"/>
        <w:spacing w:before="1"/>
        <w:ind w:right="242"/>
      </w:pPr>
      <w:r>
        <w:rPr/>
        <w:t>501. Enrollment in HLTH 511 will generate addition of a student to the Competency Exam group and invitation to complete the background check and portfolio.</w:t>
      </w:r>
    </w:p>
    <w:p>
      <w:pPr>
        <w:pStyle w:val="BodyText"/>
        <w:spacing w:before="11"/>
        <w:ind w:left="0"/>
        <w:rPr>
          <w:sz w:val="23"/>
        </w:rPr>
      </w:pPr>
    </w:p>
    <w:p>
      <w:pPr>
        <w:pStyle w:val="BodyText"/>
        <w:spacing w:before="0"/>
        <w:ind w:right="103"/>
      </w:pPr>
      <w:r>
        <w:rPr/>
        <w:t>Below is the updated Gate System process, and MPH residential course availability by semester. While all MPH courses are available online each term, the availability of residential courses varies by semester. Please familiarize yourself with both of these items, and plan your program requirements accordingly. If you are a residential student you must take residential courses.</w:t>
      </w:r>
    </w:p>
    <w:p>
      <w:pPr>
        <w:pStyle w:val="BodyText"/>
        <w:spacing w:before="0"/>
        <w:ind w:right="103"/>
      </w:pPr>
      <w:r>
        <w:rPr/>
        <w:t>Registering for online courses creates low enrollment, and those courses with low enrollment may be dropped by the Registrar’s Office. This situation impacts course availability for classmates planning to take residential courses. All core courses are typically taught in the residential format both semesters, but there are variances in concentration and elective courses. In addition, elective courses are sometimes offered residentially in an intensive format according to the level of interest. These will be announced as they arise.</w:t>
      </w:r>
    </w:p>
    <w:p>
      <w:pPr>
        <w:pStyle w:val="BodyText"/>
        <w:spacing w:before="8"/>
        <w:ind w:left="0"/>
        <w:rPr>
          <w:sz w:val="34"/>
        </w:rPr>
      </w:pPr>
    </w:p>
    <w:p>
      <w:pPr>
        <w:pStyle w:val="Heading1"/>
        <w:spacing w:before="0"/>
      </w:pPr>
      <w:r>
        <w:rPr/>
        <w:t>Gate 1: Admission to Graduate School</w:t>
      </w:r>
    </w:p>
    <w:p>
      <w:pPr>
        <w:pStyle w:val="ListParagraph"/>
        <w:numPr>
          <w:ilvl w:val="0"/>
          <w:numId w:val="1"/>
        </w:numPr>
        <w:tabs>
          <w:tab w:pos="1270" w:val="left" w:leader="none"/>
          <w:tab w:pos="1271" w:val="left" w:leader="none"/>
        </w:tabs>
        <w:spacing w:line="240" w:lineRule="auto" w:before="117" w:after="0"/>
        <w:ind w:left="1270" w:right="0" w:hanging="360"/>
        <w:jc w:val="left"/>
        <w:rPr>
          <w:rFonts w:ascii="Symbol"/>
          <w:sz w:val="24"/>
        </w:rPr>
      </w:pPr>
      <w:r>
        <w:rPr>
          <w:sz w:val="24"/>
        </w:rPr>
        <w:t>Once students have been accepted for admission, they have completed Gate</w:t>
      </w:r>
      <w:r>
        <w:rPr>
          <w:spacing w:val="-5"/>
          <w:sz w:val="24"/>
        </w:rPr>
        <w:t> </w:t>
      </w:r>
      <w:r>
        <w:rPr>
          <w:sz w:val="24"/>
        </w:rPr>
        <w:t>1.</w:t>
      </w:r>
    </w:p>
    <w:p>
      <w:pPr>
        <w:pStyle w:val="ListParagraph"/>
        <w:numPr>
          <w:ilvl w:val="0"/>
          <w:numId w:val="1"/>
        </w:numPr>
        <w:tabs>
          <w:tab w:pos="1270" w:val="left" w:leader="none"/>
          <w:tab w:pos="1271" w:val="left" w:leader="none"/>
        </w:tabs>
        <w:spacing w:line="240" w:lineRule="auto" w:before="119" w:after="0"/>
        <w:ind w:left="1270" w:right="210" w:hanging="360"/>
        <w:jc w:val="left"/>
        <w:rPr>
          <w:rFonts w:ascii="Symbol"/>
          <w:sz w:val="24"/>
        </w:rPr>
      </w:pPr>
      <w:r>
        <w:rPr>
          <w:sz w:val="24"/>
        </w:rPr>
        <w:t>Students will be advised to complete HLTH 501 as the first course in preparation</w:t>
      </w:r>
      <w:r>
        <w:rPr>
          <w:spacing w:val="-10"/>
          <w:sz w:val="24"/>
        </w:rPr>
        <w:t> </w:t>
      </w:r>
      <w:r>
        <w:rPr>
          <w:sz w:val="24"/>
        </w:rPr>
        <w:t>to complete the program.</w:t>
      </w:r>
    </w:p>
    <w:p>
      <w:pPr>
        <w:pStyle w:val="ListParagraph"/>
        <w:numPr>
          <w:ilvl w:val="0"/>
          <w:numId w:val="2"/>
        </w:numPr>
        <w:tabs>
          <w:tab w:pos="1541" w:val="left" w:leader="none"/>
        </w:tabs>
        <w:spacing w:line="240" w:lineRule="auto" w:before="121" w:after="0"/>
        <w:ind w:left="1540" w:right="0" w:hanging="270"/>
        <w:jc w:val="left"/>
        <w:rPr>
          <w:sz w:val="24"/>
        </w:rPr>
      </w:pPr>
      <w:r>
        <w:rPr>
          <w:sz w:val="24"/>
        </w:rPr>
        <w:t>GPA &lt;</w:t>
      </w:r>
      <w:r>
        <w:rPr>
          <w:spacing w:val="-1"/>
          <w:sz w:val="24"/>
        </w:rPr>
        <w:t> </w:t>
      </w:r>
      <w:r>
        <w:rPr>
          <w:sz w:val="24"/>
        </w:rPr>
        <w:t>3.0*</w:t>
      </w:r>
    </w:p>
    <w:p>
      <w:pPr>
        <w:pStyle w:val="ListParagraph"/>
        <w:numPr>
          <w:ilvl w:val="1"/>
          <w:numId w:val="2"/>
        </w:numPr>
        <w:tabs>
          <w:tab w:pos="2260" w:val="left" w:leader="none"/>
          <w:tab w:pos="2261" w:val="left" w:leader="none"/>
        </w:tabs>
        <w:spacing w:line="240" w:lineRule="auto" w:before="120" w:after="0"/>
        <w:ind w:left="1900" w:right="0" w:firstLine="0"/>
        <w:jc w:val="left"/>
        <w:rPr>
          <w:sz w:val="24"/>
        </w:rPr>
      </w:pPr>
      <w:r>
        <w:rPr>
          <w:sz w:val="24"/>
        </w:rPr>
        <w:t>Admit cautionary, students must take HLTH 500 in the first</w:t>
      </w:r>
      <w:r>
        <w:rPr>
          <w:spacing w:val="-6"/>
          <w:sz w:val="24"/>
        </w:rPr>
        <w:t> </w:t>
      </w:r>
      <w:r>
        <w:rPr>
          <w:sz w:val="24"/>
        </w:rPr>
        <w:t>semester</w:t>
      </w:r>
    </w:p>
    <w:p>
      <w:pPr>
        <w:pStyle w:val="ListParagraph"/>
        <w:numPr>
          <w:ilvl w:val="1"/>
          <w:numId w:val="2"/>
        </w:numPr>
        <w:tabs>
          <w:tab w:pos="2261" w:val="left" w:leader="none"/>
        </w:tabs>
        <w:spacing w:line="240" w:lineRule="auto" w:before="120" w:after="0"/>
        <w:ind w:left="1900" w:right="380" w:firstLine="0"/>
        <w:jc w:val="left"/>
        <w:rPr>
          <w:sz w:val="24"/>
        </w:rPr>
      </w:pPr>
      <w:r>
        <w:rPr>
          <w:sz w:val="24"/>
        </w:rPr>
        <w:t>Recommend online students take HLTH 500 as only course in 1st</w:t>
      </w:r>
      <w:r>
        <w:rPr>
          <w:spacing w:val="-9"/>
          <w:sz w:val="24"/>
        </w:rPr>
        <w:t> </w:t>
      </w:r>
      <w:r>
        <w:rPr>
          <w:sz w:val="24"/>
        </w:rPr>
        <w:t>term, then take 501 plus intro course in 2nd term. If they have to take a second course in the first term, take the intro to concentration (620, 630, and 640) with HLTH 500.</w:t>
      </w:r>
    </w:p>
    <w:p>
      <w:pPr>
        <w:pStyle w:val="ListParagraph"/>
        <w:numPr>
          <w:ilvl w:val="1"/>
          <w:numId w:val="2"/>
        </w:numPr>
        <w:tabs>
          <w:tab w:pos="2261" w:val="left" w:leader="none"/>
        </w:tabs>
        <w:spacing w:line="240" w:lineRule="auto" w:before="119" w:after="0"/>
        <w:ind w:left="1900" w:right="1231" w:firstLine="0"/>
        <w:jc w:val="left"/>
        <w:rPr>
          <w:sz w:val="24"/>
        </w:rPr>
      </w:pPr>
      <w:r>
        <w:rPr>
          <w:sz w:val="24"/>
        </w:rPr>
        <w:t>Residential students may enroll for 9 credits in semester – take concentration intro and either 507 or</w:t>
      </w:r>
      <w:r>
        <w:rPr>
          <w:spacing w:val="-2"/>
          <w:sz w:val="24"/>
        </w:rPr>
        <w:t> </w:t>
      </w:r>
      <w:r>
        <w:rPr>
          <w:sz w:val="24"/>
        </w:rPr>
        <w:t>509</w:t>
      </w:r>
    </w:p>
    <w:p>
      <w:pPr>
        <w:pStyle w:val="ListParagraph"/>
        <w:numPr>
          <w:ilvl w:val="0"/>
          <w:numId w:val="2"/>
        </w:numPr>
        <w:tabs>
          <w:tab w:pos="1541" w:val="left" w:leader="none"/>
        </w:tabs>
        <w:spacing w:line="240" w:lineRule="auto" w:before="120" w:after="0"/>
        <w:ind w:left="1540" w:right="0" w:hanging="270"/>
        <w:jc w:val="left"/>
        <w:rPr>
          <w:sz w:val="24"/>
        </w:rPr>
      </w:pPr>
      <w:r>
        <w:rPr>
          <w:sz w:val="24"/>
        </w:rPr>
        <w:t>GPA above 3.0 may take HLTH</w:t>
      </w:r>
      <w:r>
        <w:rPr>
          <w:spacing w:val="-3"/>
          <w:sz w:val="24"/>
        </w:rPr>
        <w:t> </w:t>
      </w:r>
      <w:r>
        <w:rPr>
          <w:sz w:val="24"/>
        </w:rPr>
        <w:t>501</w:t>
      </w:r>
    </w:p>
    <w:p>
      <w:pPr>
        <w:pStyle w:val="ListParagraph"/>
        <w:numPr>
          <w:ilvl w:val="0"/>
          <w:numId w:val="1"/>
        </w:numPr>
        <w:tabs>
          <w:tab w:pos="1270" w:val="left" w:leader="none"/>
          <w:tab w:pos="1271" w:val="left" w:leader="none"/>
        </w:tabs>
        <w:spacing w:line="240" w:lineRule="auto" w:before="119" w:after="0"/>
        <w:ind w:left="1270" w:right="0" w:hanging="360"/>
        <w:jc w:val="left"/>
        <w:rPr>
          <w:rFonts w:ascii="Symbol"/>
          <w:sz w:val="24"/>
        </w:rPr>
      </w:pPr>
      <w:r>
        <w:rPr>
          <w:sz w:val="24"/>
        </w:rPr>
        <w:t>A total 12 credits of graduate work may be completed prior to Gate</w:t>
      </w:r>
      <w:r>
        <w:rPr>
          <w:spacing w:val="-5"/>
          <w:sz w:val="24"/>
        </w:rPr>
        <w:t> </w:t>
      </w:r>
      <w:r>
        <w:rPr>
          <w:sz w:val="24"/>
        </w:rPr>
        <w:t>2.</w:t>
      </w:r>
    </w:p>
    <w:p>
      <w:pPr>
        <w:pStyle w:val="Heading1"/>
        <w:spacing w:before="123"/>
      </w:pPr>
      <w:r>
        <w:rPr/>
        <w:t>Gate 2: Apply for Degree Candidacy/Eligibility</w:t>
      </w:r>
    </w:p>
    <w:p>
      <w:pPr>
        <w:pStyle w:val="ListParagraph"/>
        <w:numPr>
          <w:ilvl w:val="0"/>
          <w:numId w:val="1"/>
        </w:numPr>
        <w:tabs>
          <w:tab w:pos="1270" w:val="left" w:leader="none"/>
          <w:tab w:pos="1271" w:val="left" w:leader="none"/>
        </w:tabs>
        <w:spacing w:line="240" w:lineRule="auto" w:before="118" w:after="0"/>
        <w:ind w:left="1270" w:right="156" w:hanging="360"/>
        <w:jc w:val="left"/>
        <w:rPr>
          <w:rFonts w:ascii="Symbol"/>
          <w:sz w:val="16"/>
        </w:rPr>
      </w:pPr>
      <w:r>
        <w:rPr>
          <w:sz w:val="24"/>
        </w:rPr>
        <w:t>The faculty understands that many students enter graduate studies at Liberty University to explore career options and change programs after taking a few courses on any given degree completion</w:t>
      </w:r>
      <w:r>
        <w:rPr>
          <w:spacing w:val="-1"/>
          <w:sz w:val="24"/>
        </w:rPr>
        <w:t> </w:t>
      </w:r>
      <w:r>
        <w:rPr>
          <w:sz w:val="24"/>
        </w:rPr>
        <w:t>plan.</w:t>
      </w:r>
    </w:p>
    <w:p>
      <w:pPr>
        <w:spacing w:after="0" w:line="240" w:lineRule="auto"/>
        <w:jc w:val="left"/>
        <w:rPr>
          <w:rFonts w:ascii="Symbol"/>
          <w:sz w:val="16"/>
        </w:rPr>
        <w:sectPr>
          <w:footerReference w:type="default" r:id="rId5"/>
          <w:type w:val="continuous"/>
          <w:pgSz w:w="12240" w:h="15840"/>
          <w:pgMar w:footer="1548" w:top="1380" w:bottom="1740" w:left="1340" w:right="1380"/>
        </w:sectPr>
      </w:pPr>
    </w:p>
    <w:p>
      <w:pPr>
        <w:pStyle w:val="ListParagraph"/>
        <w:numPr>
          <w:ilvl w:val="0"/>
          <w:numId w:val="1"/>
        </w:numPr>
        <w:tabs>
          <w:tab w:pos="1270" w:val="left" w:leader="none"/>
          <w:tab w:pos="1271" w:val="left" w:leader="none"/>
        </w:tabs>
        <w:spacing w:line="240" w:lineRule="auto" w:before="78" w:after="0"/>
        <w:ind w:left="1270" w:right="98" w:hanging="360"/>
        <w:jc w:val="left"/>
        <w:rPr>
          <w:rFonts w:ascii="Symbol"/>
          <w:sz w:val="16"/>
        </w:rPr>
      </w:pPr>
      <w:r>
        <w:rPr>
          <w:sz w:val="24"/>
        </w:rPr>
        <w:t>Gate 2 serves to verify the student has the desire and competencies to complete the MPH degree. Verification of desire will be established by completing a short essay on the meaning of Public Health and how it fits the student career goals. Meeting this gate establishes the student as belonging to the MPH program. The students completing this step will provide the basis for calculating enrollment and</w:t>
      </w:r>
      <w:r>
        <w:rPr>
          <w:spacing w:val="-11"/>
          <w:sz w:val="24"/>
        </w:rPr>
        <w:t> </w:t>
      </w:r>
      <w:r>
        <w:rPr>
          <w:sz w:val="24"/>
        </w:rPr>
        <w:t>completion statistics.</w:t>
      </w:r>
    </w:p>
    <w:p>
      <w:pPr>
        <w:pStyle w:val="ListParagraph"/>
        <w:numPr>
          <w:ilvl w:val="0"/>
          <w:numId w:val="1"/>
        </w:numPr>
        <w:tabs>
          <w:tab w:pos="1270" w:val="left" w:leader="none"/>
          <w:tab w:pos="1271" w:val="left" w:leader="none"/>
        </w:tabs>
        <w:spacing w:line="240" w:lineRule="auto" w:before="120" w:after="0"/>
        <w:ind w:left="1270" w:right="525" w:hanging="360"/>
        <w:jc w:val="left"/>
        <w:rPr>
          <w:rFonts w:ascii="Symbol"/>
          <w:sz w:val="16"/>
        </w:rPr>
      </w:pPr>
      <w:r>
        <w:rPr>
          <w:sz w:val="24"/>
        </w:rPr>
        <w:t>Gate 2 should be completed once the student has taken 12 credit hours</w:t>
      </w:r>
      <w:r>
        <w:rPr>
          <w:spacing w:val="-8"/>
          <w:sz w:val="24"/>
        </w:rPr>
        <w:t> </w:t>
      </w:r>
      <w:r>
        <w:rPr>
          <w:sz w:val="24"/>
        </w:rPr>
        <w:t>including completion of HLTH 501 with a grade of C or</w:t>
      </w:r>
      <w:r>
        <w:rPr>
          <w:spacing w:val="-3"/>
          <w:sz w:val="24"/>
        </w:rPr>
        <w:t> </w:t>
      </w:r>
      <w:r>
        <w:rPr>
          <w:sz w:val="24"/>
        </w:rPr>
        <w:t>better.*</w:t>
      </w:r>
    </w:p>
    <w:p>
      <w:pPr>
        <w:pStyle w:val="ListParagraph"/>
        <w:numPr>
          <w:ilvl w:val="0"/>
          <w:numId w:val="1"/>
        </w:numPr>
        <w:tabs>
          <w:tab w:pos="1270" w:val="left" w:leader="none"/>
          <w:tab w:pos="1271" w:val="left" w:leader="none"/>
        </w:tabs>
        <w:spacing w:line="240" w:lineRule="auto" w:before="120" w:after="0"/>
        <w:ind w:left="1270" w:right="178" w:hanging="360"/>
        <w:jc w:val="left"/>
        <w:rPr>
          <w:rFonts w:ascii="Symbol"/>
          <w:sz w:val="16"/>
        </w:rPr>
      </w:pPr>
      <w:r>
        <w:rPr>
          <w:sz w:val="24"/>
        </w:rPr>
        <w:t>Students will not be permitted to progress through the program without</w:t>
      </w:r>
      <w:r>
        <w:rPr>
          <w:spacing w:val="-13"/>
          <w:sz w:val="24"/>
        </w:rPr>
        <w:t> </w:t>
      </w:r>
      <w:r>
        <w:rPr>
          <w:sz w:val="24"/>
        </w:rPr>
        <w:t>successfully completing HLTH</w:t>
      </w:r>
      <w:r>
        <w:rPr>
          <w:spacing w:val="-2"/>
          <w:sz w:val="24"/>
        </w:rPr>
        <w:t> </w:t>
      </w:r>
      <w:r>
        <w:rPr>
          <w:sz w:val="24"/>
        </w:rPr>
        <w:t>501.</w:t>
      </w:r>
    </w:p>
    <w:p>
      <w:pPr>
        <w:pStyle w:val="Heading1"/>
        <w:spacing w:before="123"/>
      </w:pPr>
      <w:r>
        <w:rPr/>
        <w:t>Gate 3: Completion of Electronic Portfolio</w:t>
      </w:r>
    </w:p>
    <w:p>
      <w:pPr>
        <w:pStyle w:val="ListParagraph"/>
        <w:numPr>
          <w:ilvl w:val="0"/>
          <w:numId w:val="1"/>
        </w:numPr>
        <w:tabs>
          <w:tab w:pos="1270" w:val="left" w:leader="none"/>
          <w:tab w:pos="1271" w:val="left" w:leader="none"/>
        </w:tabs>
        <w:spacing w:line="240" w:lineRule="auto" w:before="117" w:after="0"/>
        <w:ind w:left="1270" w:right="351" w:hanging="360"/>
        <w:jc w:val="left"/>
        <w:rPr>
          <w:rFonts w:ascii="Symbol"/>
          <w:sz w:val="24"/>
        </w:rPr>
      </w:pPr>
      <w:r>
        <w:rPr>
          <w:sz w:val="24"/>
        </w:rPr>
        <w:t>Students may begin creating a portfolio upon successful completion of HLTH</w:t>
      </w:r>
      <w:r>
        <w:rPr>
          <w:spacing w:val="-8"/>
          <w:sz w:val="24"/>
        </w:rPr>
        <w:t> </w:t>
      </w:r>
      <w:r>
        <w:rPr>
          <w:sz w:val="24"/>
        </w:rPr>
        <w:t>501 (biostatistics) with a grade of C or</w:t>
      </w:r>
      <w:r>
        <w:rPr>
          <w:spacing w:val="-2"/>
          <w:sz w:val="24"/>
        </w:rPr>
        <w:t> </w:t>
      </w:r>
      <w:r>
        <w:rPr>
          <w:sz w:val="24"/>
        </w:rPr>
        <w:t>better.*</w:t>
      </w:r>
    </w:p>
    <w:p>
      <w:pPr>
        <w:pStyle w:val="ListParagraph"/>
        <w:numPr>
          <w:ilvl w:val="0"/>
          <w:numId w:val="1"/>
        </w:numPr>
        <w:tabs>
          <w:tab w:pos="1270" w:val="left" w:leader="none"/>
          <w:tab w:pos="1271" w:val="left" w:leader="none"/>
        </w:tabs>
        <w:spacing w:line="240" w:lineRule="auto" w:before="119" w:after="0"/>
        <w:ind w:left="1270" w:right="323" w:hanging="360"/>
        <w:jc w:val="left"/>
        <w:rPr>
          <w:rFonts w:ascii="Symbol"/>
          <w:sz w:val="24"/>
        </w:rPr>
      </w:pPr>
      <w:r>
        <w:rPr>
          <w:sz w:val="24"/>
        </w:rPr>
        <w:t>Take HLTH 511 last (although only HLTH 501 is a pre-requisite the other courses should be completed before or with HLTH</w:t>
      </w:r>
      <w:r>
        <w:rPr>
          <w:spacing w:val="-3"/>
          <w:sz w:val="24"/>
        </w:rPr>
        <w:t> </w:t>
      </w:r>
      <w:r>
        <w:rPr>
          <w:sz w:val="24"/>
        </w:rPr>
        <w:t>511).*</w:t>
      </w:r>
    </w:p>
    <w:p>
      <w:pPr>
        <w:pStyle w:val="ListParagraph"/>
        <w:numPr>
          <w:ilvl w:val="0"/>
          <w:numId w:val="1"/>
        </w:numPr>
        <w:tabs>
          <w:tab w:pos="1270" w:val="left" w:leader="none"/>
          <w:tab w:pos="1271" w:val="left" w:leader="none"/>
        </w:tabs>
        <w:spacing w:line="240" w:lineRule="auto" w:before="118" w:after="0"/>
        <w:ind w:left="1270" w:right="243" w:hanging="360"/>
        <w:jc w:val="left"/>
        <w:rPr>
          <w:rFonts w:ascii="Symbol"/>
          <w:sz w:val="24"/>
        </w:rPr>
      </w:pPr>
      <w:r>
        <w:rPr>
          <w:sz w:val="24"/>
        </w:rPr>
        <w:t>The electronic portfolio serves as repository for documents to demonstrate student achievements as they develop. These assignments provide an assessment of student progress and are evidence of program effectiveness. Addition of appropriate documents is a student responsibility. Samples of assignments will be drawn from portfolios to assess student performance. The portfolio will</w:t>
      </w:r>
      <w:r>
        <w:rPr>
          <w:spacing w:val="-4"/>
          <w:sz w:val="24"/>
        </w:rPr>
        <w:t> </w:t>
      </w:r>
      <w:r>
        <w:rPr>
          <w:sz w:val="24"/>
        </w:rPr>
        <w:t>include:</w:t>
      </w:r>
    </w:p>
    <w:p>
      <w:pPr>
        <w:pStyle w:val="ListParagraph"/>
        <w:numPr>
          <w:ilvl w:val="1"/>
          <w:numId w:val="1"/>
        </w:numPr>
        <w:tabs>
          <w:tab w:pos="1810" w:val="left" w:leader="none"/>
          <w:tab w:pos="1811" w:val="left" w:leader="none"/>
        </w:tabs>
        <w:spacing w:line="240" w:lineRule="auto" w:before="121" w:after="0"/>
        <w:ind w:left="1810" w:right="535" w:hanging="360"/>
        <w:jc w:val="left"/>
        <w:rPr>
          <w:sz w:val="24"/>
        </w:rPr>
      </w:pPr>
      <w:r>
        <w:rPr>
          <w:sz w:val="24"/>
        </w:rPr>
        <w:t>An essay on public health and how the MPH will be used to meet student career goals. (See the MPH Student concourse in your non-term courses in Blackboard for</w:t>
      </w:r>
      <w:r>
        <w:rPr>
          <w:spacing w:val="-1"/>
          <w:sz w:val="24"/>
        </w:rPr>
        <w:t> </w:t>
      </w:r>
      <w:r>
        <w:rPr>
          <w:sz w:val="24"/>
        </w:rPr>
        <w:t>details).</w:t>
      </w:r>
    </w:p>
    <w:p>
      <w:pPr>
        <w:pStyle w:val="ListParagraph"/>
        <w:numPr>
          <w:ilvl w:val="1"/>
          <w:numId w:val="1"/>
        </w:numPr>
        <w:tabs>
          <w:tab w:pos="1810" w:val="left" w:leader="none"/>
          <w:tab w:pos="1811" w:val="left" w:leader="none"/>
        </w:tabs>
        <w:spacing w:line="240" w:lineRule="auto" w:before="120" w:after="0"/>
        <w:ind w:left="1810" w:right="0" w:hanging="360"/>
        <w:jc w:val="left"/>
        <w:rPr>
          <w:sz w:val="24"/>
        </w:rPr>
      </w:pPr>
      <w:r>
        <w:rPr>
          <w:sz w:val="24"/>
        </w:rPr>
        <w:t>Key assignments from each course (see Portfolio link in menu for</w:t>
      </w:r>
      <w:r>
        <w:rPr>
          <w:spacing w:val="-6"/>
          <w:sz w:val="24"/>
        </w:rPr>
        <w:t> </w:t>
      </w:r>
      <w:r>
        <w:rPr>
          <w:sz w:val="24"/>
        </w:rPr>
        <w:t>details).</w:t>
      </w:r>
    </w:p>
    <w:p>
      <w:pPr>
        <w:pStyle w:val="ListParagraph"/>
        <w:numPr>
          <w:ilvl w:val="1"/>
          <w:numId w:val="1"/>
        </w:numPr>
        <w:tabs>
          <w:tab w:pos="1810" w:val="left" w:leader="none"/>
          <w:tab w:pos="1811" w:val="left" w:leader="none"/>
        </w:tabs>
        <w:spacing w:line="240" w:lineRule="auto" w:before="120" w:after="0"/>
        <w:ind w:left="1810" w:right="172" w:hanging="360"/>
        <w:jc w:val="left"/>
        <w:rPr>
          <w:sz w:val="24"/>
        </w:rPr>
      </w:pPr>
      <w:r>
        <w:rPr>
          <w:sz w:val="24"/>
        </w:rPr>
        <w:t>A current resume or CV. Students are encouraged to contact the Career</w:t>
      </w:r>
      <w:r>
        <w:rPr>
          <w:spacing w:val="-10"/>
          <w:sz w:val="24"/>
        </w:rPr>
        <w:t> </w:t>
      </w:r>
      <w:r>
        <w:rPr>
          <w:sz w:val="24"/>
        </w:rPr>
        <w:t>Center for assistance in resume or CV</w:t>
      </w:r>
      <w:r>
        <w:rPr>
          <w:spacing w:val="-2"/>
          <w:sz w:val="24"/>
        </w:rPr>
        <w:t> </w:t>
      </w:r>
      <w:r>
        <w:rPr>
          <w:sz w:val="24"/>
        </w:rPr>
        <w:t>development.</w:t>
      </w:r>
    </w:p>
    <w:p>
      <w:pPr>
        <w:pStyle w:val="ListParagraph"/>
        <w:numPr>
          <w:ilvl w:val="1"/>
          <w:numId w:val="1"/>
        </w:numPr>
        <w:tabs>
          <w:tab w:pos="1811" w:val="left" w:leader="none"/>
        </w:tabs>
        <w:spacing w:line="240" w:lineRule="auto" w:before="121" w:after="0"/>
        <w:ind w:left="1810" w:right="115" w:hanging="360"/>
        <w:jc w:val="both"/>
        <w:rPr>
          <w:sz w:val="24"/>
        </w:rPr>
      </w:pPr>
      <w:r>
        <w:rPr>
          <w:sz w:val="24"/>
        </w:rPr>
        <w:t>A paragraph describing any volunteer service, co-curricular activities, or extra- curricular activities considered as applied practical experiences (APE) or inter- professional experiences (IPE).</w:t>
      </w:r>
    </w:p>
    <w:p>
      <w:pPr>
        <w:pStyle w:val="ListParagraph"/>
        <w:numPr>
          <w:ilvl w:val="1"/>
          <w:numId w:val="1"/>
        </w:numPr>
        <w:tabs>
          <w:tab w:pos="1810" w:val="left" w:leader="none"/>
          <w:tab w:pos="1811" w:val="left" w:leader="none"/>
        </w:tabs>
        <w:spacing w:line="240" w:lineRule="auto" w:before="118" w:after="0"/>
        <w:ind w:left="1810" w:right="404" w:hanging="360"/>
        <w:jc w:val="left"/>
        <w:rPr>
          <w:sz w:val="24"/>
        </w:rPr>
      </w:pPr>
      <w:r>
        <w:rPr>
          <w:sz w:val="24"/>
        </w:rPr>
        <w:t>Background Check. This element is completed during HLTH 511* as a requirement for enrollment in HLTH 698. A receipt should be posted to</w:t>
      </w:r>
      <w:r>
        <w:rPr>
          <w:spacing w:val="-9"/>
          <w:sz w:val="24"/>
        </w:rPr>
        <w:t> </w:t>
      </w:r>
      <w:r>
        <w:rPr>
          <w:sz w:val="24"/>
        </w:rPr>
        <w:t>the portfolio to indicate</w:t>
      </w:r>
      <w:r>
        <w:rPr>
          <w:spacing w:val="-2"/>
          <w:sz w:val="24"/>
        </w:rPr>
        <w:t> </w:t>
      </w:r>
      <w:r>
        <w:rPr>
          <w:sz w:val="24"/>
        </w:rPr>
        <w:t>completion.</w:t>
      </w:r>
    </w:p>
    <w:p>
      <w:pPr>
        <w:pStyle w:val="Heading1"/>
        <w:spacing w:before="123"/>
      </w:pPr>
      <w:r>
        <w:rPr/>
        <w:t>Gate 4: Culminating Experience/Competency Exam*</w:t>
      </w:r>
    </w:p>
    <w:p>
      <w:pPr>
        <w:pStyle w:val="ListParagraph"/>
        <w:numPr>
          <w:ilvl w:val="0"/>
          <w:numId w:val="3"/>
        </w:numPr>
        <w:tabs>
          <w:tab w:pos="1180" w:val="left" w:leader="none"/>
          <w:tab w:pos="1181" w:val="left" w:leader="none"/>
        </w:tabs>
        <w:spacing w:line="240" w:lineRule="auto" w:before="117" w:after="0"/>
        <w:ind w:left="1180" w:right="181" w:hanging="360"/>
        <w:jc w:val="left"/>
        <w:rPr>
          <w:rFonts w:ascii="Symbol"/>
          <w:sz w:val="24"/>
        </w:rPr>
      </w:pPr>
      <w:r>
        <w:rPr>
          <w:sz w:val="24"/>
        </w:rPr>
        <w:t>Students entering the program prior to fall 2018 will take the exam through the</w:t>
      </w:r>
      <w:r>
        <w:rPr>
          <w:spacing w:val="-14"/>
          <w:sz w:val="24"/>
        </w:rPr>
        <w:t> </w:t>
      </w:r>
      <w:r>
        <w:rPr>
          <w:sz w:val="24"/>
        </w:rPr>
        <w:t>MPH Student concourse. Students beginning in fall 2018 and afterwards will register for the zero-credit HLTH 600</w:t>
      </w:r>
      <w:r>
        <w:rPr>
          <w:spacing w:val="-2"/>
          <w:sz w:val="24"/>
        </w:rPr>
        <w:t> </w:t>
      </w:r>
      <w:r>
        <w:rPr>
          <w:sz w:val="24"/>
        </w:rPr>
        <w:t>course.*</w:t>
      </w:r>
    </w:p>
    <w:p>
      <w:pPr>
        <w:pStyle w:val="ListParagraph"/>
        <w:numPr>
          <w:ilvl w:val="0"/>
          <w:numId w:val="3"/>
        </w:numPr>
        <w:tabs>
          <w:tab w:pos="1180" w:val="left" w:leader="none"/>
          <w:tab w:pos="1181" w:val="left" w:leader="none"/>
        </w:tabs>
        <w:spacing w:line="240" w:lineRule="auto" w:before="120" w:after="0"/>
        <w:ind w:left="1180" w:right="130" w:hanging="360"/>
        <w:jc w:val="left"/>
        <w:rPr>
          <w:rFonts w:ascii="Symbol" w:hAnsi="Symbol"/>
          <w:sz w:val="24"/>
        </w:rPr>
      </w:pPr>
      <w:r>
        <w:rPr>
          <w:sz w:val="24"/>
        </w:rPr>
        <w:t>The competency exam provides evidence of a student’s readiness for a practicum</w:t>
      </w:r>
      <w:r>
        <w:rPr>
          <w:spacing w:val="-19"/>
          <w:sz w:val="24"/>
        </w:rPr>
        <w:t> </w:t>
      </w:r>
      <w:r>
        <w:rPr>
          <w:sz w:val="24"/>
        </w:rPr>
        <w:t>and graduation. A passing score of 70% is a requirement to register for HLTH 698.The exam can be retaken 3 times during HLTH 600 to achieve a passing</w:t>
      </w:r>
      <w:r>
        <w:rPr>
          <w:spacing w:val="-7"/>
          <w:sz w:val="24"/>
        </w:rPr>
        <w:t> </w:t>
      </w:r>
      <w:r>
        <w:rPr>
          <w:sz w:val="24"/>
        </w:rPr>
        <w:t>score.*</w:t>
      </w:r>
    </w:p>
    <w:p>
      <w:pPr>
        <w:spacing w:after="0" w:line="240" w:lineRule="auto"/>
        <w:jc w:val="left"/>
        <w:rPr>
          <w:rFonts w:ascii="Symbol" w:hAnsi="Symbol"/>
          <w:sz w:val="24"/>
        </w:rPr>
        <w:sectPr>
          <w:pgSz w:w="12240" w:h="15840"/>
          <w:pgMar w:header="0" w:footer="1548" w:top="1360" w:bottom="1740" w:left="1340" w:right="1380"/>
        </w:sectPr>
      </w:pPr>
    </w:p>
    <w:p>
      <w:pPr>
        <w:pStyle w:val="ListParagraph"/>
        <w:numPr>
          <w:ilvl w:val="0"/>
          <w:numId w:val="3"/>
        </w:numPr>
        <w:tabs>
          <w:tab w:pos="1180" w:val="left" w:leader="none"/>
          <w:tab w:pos="1181" w:val="left" w:leader="none"/>
        </w:tabs>
        <w:spacing w:line="240" w:lineRule="auto" w:before="77" w:after="0"/>
        <w:ind w:left="1180" w:right="353" w:hanging="360"/>
        <w:jc w:val="left"/>
        <w:rPr>
          <w:rFonts w:ascii="Symbol"/>
          <w:sz w:val="24"/>
        </w:rPr>
      </w:pPr>
      <w:r>
        <w:rPr>
          <w:sz w:val="24"/>
        </w:rPr>
        <w:t>Assignments stored within the electronic portfolio and the study guide on the</w:t>
      </w:r>
      <w:r>
        <w:rPr>
          <w:spacing w:val="-11"/>
          <w:sz w:val="24"/>
        </w:rPr>
        <w:t> </w:t>
      </w:r>
      <w:r>
        <w:rPr>
          <w:sz w:val="24"/>
        </w:rPr>
        <w:t>MPH student concourse will help the student prepare for the</w:t>
      </w:r>
      <w:r>
        <w:rPr>
          <w:spacing w:val="-4"/>
          <w:sz w:val="24"/>
        </w:rPr>
        <w:t> </w:t>
      </w:r>
      <w:r>
        <w:rPr>
          <w:sz w:val="24"/>
        </w:rPr>
        <w:t>exam.</w:t>
      </w:r>
    </w:p>
    <w:p>
      <w:pPr>
        <w:pStyle w:val="ListParagraph"/>
        <w:numPr>
          <w:ilvl w:val="0"/>
          <w:numId w:val="3"/>
        </w:numPr>
        <w:tabs>
          <w:tab w:pos="1180" w:val="left" w:leader="none"/>
          <w:tab w:pos="1181" w:val="left" w:leader="none"/>
        </w:tabs>
        <w:spacing w:line="240" w:lineRule="auto" w:before="119" w:after="0"/>
        <w:ind w:left="1180" w:right="142" w:hanging="360"/>
        <w:jc w:val="left"/>
        <w:rPr>
          <w:rFonts w:ascii="Symbol"/>
          <w:sz w:val="24"/>
        </w:rPr>
      </w:pPr>
      <w:r>
        <w:rPr>
          <w:sz w:val="24"/>
        </w:rPr>
        <w:t>Students may request an opportunity to take the exam or register for HLTH 600</w:t>
      </w:r>
      <w:r>
        <w:rPr>
          <w:spacing w:val="-12"/>
          <w:sz w:val="24"/>
        </w:rPr>
        <w:t> </w:t>
      </w:r>
      <w:r>
        <w:rPr>
          <w:sz w:val="24"/>
        </w:rPr>
        <w:t>upon completion of all core curriculum cores (HLTH 501, 503, 505, 507, 509, and</w:t>
      </w:r>
      <w:r>
        <w:rPr>
          <w:spacing w:val="-7"/>
          <w:sz w:val="24"/>
        </w:rPr>
        <w:t> </w:t>
      </w:r>
      <w:r>
        <w:rPr>
          <w:sz w:val="24"/>
        </w:rPr>
        <w:t>511).</w:t>
      </w:r>
    </w:p>
    <w:p>
      <w:pPr>
        <w:pStyle w:val="ListParagraph"/>
        <w:numPr>
          <w:ilvl w:val="0"/>
          <w:numId w:val="3"/>
        </w:numPr>
        <w:tabs>
          <w:tab w:pos="1180" w:val="left" w:leader="none"/>
          <w:tab w:pos="1181" w:val="left" w:leader="none"/>
        </w:tabs>
        <w:spacing w:line="240" w:lineRule="auto" w:before="120" w:after="0"/>
        <w:ind w:left="1180" w:right="0" w:hanging="360"/>
        <w:jc w:val="left"/>
        <w:rPr>
          <w:rFonts w:ascii="Symbol"/>
          <w:sz w:val="24"/>
        </w:rPr>
      </w:pPr>
      <w:r>
        <w:rPr>
          <w:sz w:val="24"/>
        </w:rPr>
        <w:t>The exam will be taken in the semester prior to enrollment in the HLTH</w:t>
      </w:r>
      <w:r>
        <w:rPr>
          <w:spacing w:val="-13"/>
          <w:sz w:val="24"/>
        </w:rPr>
        <w:t> </w:t>
      </w:r>
      <w:r>
        <w:rPr>
          <w:sz w:val="24"/>
        </w:rPr>
        <w:t>698.</w:t>
      </w:r>
    </w:p>
    <w:p>
      <w:pPr>
        <w:pStyle w:val="ListParagraph"/>
        <w:numPr>
          <w:ilvl w:val="0"/>
          <w:numId w:val="3"/>
        </w:numPr>
        <w:tabs>
          <w:tab w:pos="1180" w:val="left" w:leader="none"/>
          <w:tab w:pos="1181" w:val="left" w:leader="none"/>
        </w:tabs>
        <w:spacing w:line="240" w:lineRule="auto" w:before="119" w:after="0"/>
        <w:ind w:left="1180" w:right="629" w:hanging="360"/>
        <w:jc w:val="left"/>
        <w:rPr>
          <w:rFonts w:ascii="Symbol"/>
          <w:sz w:val="24"/>
        </w:rPr>
      </w:pPr>
      <w:r>
        <w:rPr>
          <w:sz w:val="24"/>
        </w:rPr>
        <w:t>A completed portfolio will be documented in HLTH 600, serve as a</w:t>
      </w:r>
      <w:r>
        <w:rPr>
          <w:spacing w:val="-13"/>
          <w:sz w:val="24"/>
        </w:rPr>
        <w:t> </w:t>
      </w:r>
      <w:r>
        <w:rPr>
          <w:sz w:val="24"/>
        </w:rPr>
        <w:t>culminating experience, and provide documentation for future career</w:t>
      </w:r>
      <w:r>
        <w:rPr>
          <w:spacing w:val="-5"/>
          <w:sz w:val="24"/>
        </w:rPr>
        <w:t> </w:t>
      </w:r>
      <w:r>
        <w:rPr>
          <w:sz w:val="24"/>
        </w:rPr>
        <w:t>development.</w:t>
      </w:r>
    </w:p>
    <w:p>
      <w:pPr>
        <w:pStyle w:val="Heading1"/>
      </w:pPr>
      <w:r>
        <w:rPr/>
        <w:t>Gate 5: Practicum*</w:t>
      </w:r>
    </w:p>
    <w:p>
      <w:pPr>
        <w:pStyle w:val="ListParagraph"/>
        <w:numPr>
          <w:ilvl w:val="0"/>
          <w:numId w:val="3"/>
        </w:numPr>
        <w:tabs>
          <w:tab w:pos="1180" w:val="left" w:leader="none"/>
          <w:tab w:pos="1181" w:val="left" w:leader="none"/>
        </w:tabs>
        <w:spacing w:line="240" w:lineRule="auto" w:before="117" w:after="0"/>
        <w:ind w:left="1180" w:right="501" w:hanging="360"/>
        <w:jc w:val="left"/>
        <w:rPr>
          <w:rFonts w:ascii="Symbol"/>
          <w:sz w:val="16"/>
        </w:rPr>
      </w:pPr>
      <w:r>
        <w:rPr>
          <w:sz w:val="24"/>
        </w:rPr>
        <w:t>Students should refer to the MPH Practicum Guide for details about selecting</w:t>
      </w:r>
      <w:r>
        <w:rPr>
          <w:spacing w:val="-8"/>
          <w:sz w:val="24"/>
        </w:rPr>
        <w:t> </w:t>
      </w:r>
      <w:r>
        <w:rPr>
          <w:sz w:val="24"/>
        </w:rPr>
        <w:t>and completing a</w:t>
      </w:r>
      <w:r>
        <w:rPr>
          <w:spacing w:val="-1"/>
          <w:sz w:val="24"/>
        </w:rPr>
        <w:t> </w:t>
      </w:r>
      <w:r>
        <w:rPr>
          <w:sz w:val="24"/>
        </w:rPr>
        <w:t>practicum.</w:t>
      </w:r>
    </w:p>
    <w:p>
      <w:pPr>
        <w:pStyle w:val="ListParagraph"/>
        <w:numPr>
          <w:ilvl w:val="0"/>
          <w:numId w:val="3"/>
        </w:numPr>
        <w:tabs>
          <w:tab w:pos="1180" w:val="left" w:leader="none"/>
          <w:tab w:pos="1181" w:val="left" w:leader="none"/>
        </w:tabs>
        <w:spacing w:line="240" w:lineRule="auto" w:before="120" w:after="0"/>
        <w:ind w:left="1180" w:right="342" w:hanging="360"/>
        <w:jc w:val="left"/>
        <w:rPr>
          <w:rFonts w:ascii="Symbol"/>
          <w:sz w:val="16"/>
        </w:rPr>
      </w:pPr>
      <w:r>
        <w:rPr>
          <w:sz w:val="24"/>
        </w:rPr>
        <w:t>Students must complete all core and cognate courses, and HLTH 600</w:t>
      </w:r>
      <w:r>
        <w:rPr>
          <w:spacing w:val="-13"/>
          <w:sz w:val="24"/>
        </w:rPr>
        <w:t> </w:t>
      </w:r>
      <w:r>
        <w:rPr>
          <w:sz w:val="24"/>
        </w:rPr>
        <w:t>(Competency Exam and Electronic Portfolio) prior to enrolling in a</w:t>
      </w:r>
      <w:r>
        <w:rPr>
          <w:spacing w:val="-4"/>
          <w:sz w:val="24"/>
        </w:rPr>
        <w:t> </w:t>
      </w:r>
      <w:r>
        <w:rPr>
          <w:sz w:val="24"/>
        </w:rPr>
        <w:t>Practicum.</w:t>
      </w:r>
    </w:p>
    <w:p>
      <w:pPr>
        <w:pStyle w:val="ListParagraph"/>
        <w:numPr>
          <w:ilvl w:val="0"/>
          <w:numId w:val="3"/>
        </w:numPr>
        <w:tabs>
          <w:tab w:pos="1180" w:val="left" w:leader="none"/>
          <w:tab w:pos="1181" w:val="left" w:leader="none"/>
        </w:tabs>
        <w:spacing w:line="240" w:lineRule="auto" w:before="121" w:after="0"/>
        <w:ind w:left="1180" w:right="270" w:hanging="360"/>
        <w:jc w:val="left"/>
        <w:rPr>
          <w:rFonts w:ascii="Symbol"/>
          <w:sz w:val="16"/>
        </w:rPr>
      </w:pPr>
      <w:r>
        <w:rPr>
          <w:sz w:val="24"/>
        </w:rPr>
        <w:t>Students are responsible for locating an appropriate Practicum to match their</w:t>
      </w:r>
      <w:r>
        <w:rPr>
          <w:spacing w:val="-14"/>
          <w:sz w:val="24"/>
        </w:rPr>
        <w:t> </w:t>
      </w:r>
      <w:r>
        <w:rPr>
          <w:sz w:val="24"/>
        </w:rPr>
        <w:t>degree concentration and career</w:t>
      </w:r>
      <w:r>
        <w:rPr>
          <w:spacing w:val="-1"/>
          <w:sz w:val="24"/>
        </w:rPr>
        <w:t> </w:t>
      </w:r>
      <w:r>
        <w:rPr>
          <w:sz w:val="24"/>
        </w:rPr>
        <w:t>goals.</w:t>
      </w:r>
    </w:p>
    <w:p>
      <w:pPr>
        <w:pStyle w:val="ListParagraph"/>
        <w:numPr>
          <w:ilvl w:val="0"/>
          <w:numId w:val="3"/>
        </w:numPr>
        <w:tabs>
          <w:tab w:pos="1180" w:val="left" w:leader="none"/>
          <w:tab w:pos="1181" w:val="left" w:leader="none"/>
        </w:tabs>
        <w:spacing w:line="240" w:lineRule="auto" w:before="120" w:after="0"/>
        <w:ind w:left="1180" w:right="540" w:hanging="360"/>
        <w:jc w:val="left"/>
        <w:rPr>
          <w:rFonts w:ascii="Symbol"/>
          <w:sz w:val="16"/>
        </w:rPr>
      </w:pPr>
      <w:r>
        <w:rPr>
          <w:sz w:val="24"/>
        </w:rPr>
        <w:t>Securing the practicum site must be coordinated and approved by the Practicum Coordinator at least 2 weeks prior to the term during which the student intends</w:t>
      </w:r>
      <w:r>
        <w:rPr>
          <w:spacing w:val="-14"/>
          <w:sz w:val="24"/>
        </w:rPr>
        <w:t> </w:t>
      </w:r>
      <w:r>
        <w:rPr>
          <w:sz w:val="24"/>
        </w:rPr>
        <w:t>to enroll in HLTH</w:t>
      </w:r>
      <w:r>
        <w:rPr>
          <w:spacing w:val="-2"/>
          <w:sz w:val="24"/>
        </w:rPr>
        <w:t> </w:t>
      </w:r>
      <w:r>
        <w:rPr>
          <w:sz w:val="24"/>
        </w:rPr>
        <w:t>698.</w:t>
      </w:r>
    </w:p>
    <w:p>
      <w:pPr>
        <w:pStyle w:val="Heading1"/>
      </w:pPr>
      <w:r>
        <w:rPr/>
        <w:t>Gate 6: Apply for Graduation*</w:t>
      </w:r>
    </w:p>
    <w:p>
      <w:pPr>
        <w:pStyle w:val="ListParagraph"/>
        <w:numPr>
          <w:ilvl w:val="0"/>
          <w:numId w:val="3"/>
        </w:numPr>
        <w:tabs>
          <w:tab w:pos="1181" w:val="left" w:leader="none"/>
        </w:tabs>
        <w:spacing w:line="240" w:lineRule="auto" w:before="118" w:after="0"/>
        <w:ind w:left="1180" w:right="287" w:hanging="360"/>
        <w:jc w:val="both"/>
        <w:rPr>
          <w:rFonts w:ascii="Symbol"/>
          <w:sz w:val="16"/>
        </w:rPr>
      </w:pPr>
      <w:r>
        <w:rPr>
          <w:sz w:val="24"/>
        </w:rPr>
        <w:t>Students are permitted to walk in the commencement ceremony prior to completion of the Practicum; however, students should apply for graduation upon enrollment</w:t>
      </w:r>
      <w:r>
        <w:rPr>
          <w:spacing w:val="-10"/>
          <w:sz w:val="24"/>
        </w:rPr>
        <w:t> </w:t>
      </w:r>
      <w:r>
        <w:rPr>
          <w:sz w:val="24"/>
        </w:rPr>
        <w:t>in the Practicum to ensure degree conferral at the end of the</w:t>
      </w:r>
      <w:r>
        <w:rPr>
          <w:spacing w:val="-6"/>
          <w:sz w:val="24"/>
        </w:rPr>
        <w:t> </w:t>
      </w:r>
      <w:r>
        <w:rPr>
          <w:sz w:val="24"/>
        </w:rPr>
        <w:t>course.</w:t>
      </w:r>
    </w:p>
    <w:p>
      <w:pPr>
        <w:pStyle w:val="ListParagraph"/>
        <w:numPr>
          <w:ilvl w:val="0"/>
          <w:numId w:val="3"/>
        </w:numPr>
        <w:tabs>
          <w:tab w:pos="1180" w:val="left" w:leader="none"/>
          <w:tab w:pos="1181" w:val="left" w:leader="none"/>
        </w:tabs>
        <w:spacing w:line="240" w:lineRule="auto" w:before="120" w:after="0"/>
        <w:ind w:left="1180" w:right="0" w:hanging="360"/>
        <w:jc w:val="left"/>
        <w:rPr>
          <w:rFonts w:ascii="Symbol"/>
          <w:sz w:val="16"/>
        </w:rPr>
      </w:pPr>
      <w:r>
        <w:rPr>
          <w:sz w:val="24"/>
        </w:rPr>
        <w:t>Go to the Registrar webpage for</w:t>
      </w:r>
      <w:r>
        <w:rPr>
          <w:spacing w:val="-1"/>
          <w:sz w:val="24"/>
        </w:rPr>
        <w:t> </w:t>
      </w:r>
      <w:r>
        <w:rPr>
          <w:sz w:val="24"/>
        </w:rPr>
        <w:t>details.</w:t>
      </w:r>
    </w:p>
    <w:p>
      <w:pPr>
        <w:pStyle w:val="BodyText"/>
        <w:spacing w:before="0"/>
        <w:ind w:left="0"/>
        <w:rPr>
          <w:sz w:val="26"/>
        </w:rPr>
      </w:pPr>
    </w:p>
    <w:p>
      <w:pPr>
        <w:pStyle w:val="Heading1"/>
        <w:spacing w:before="174"/>
        <w:ind w:left="41"/>
        <w:jc w:val="center"/>
      </w:pPr>
      <w:r>
        <w:rPr/>
        <w:t>Typical Residential Course Offerings*</w:t>
      </w:r>
    </w:p>
    <w:p>
      <w:pPr>
        <w:pStyle w:val="BodyText"/>
        <w:spacing w:before="8"/>
        <w:ind w:left="0"/>
        <w:rPr>
          <w:b/>
          <w:sz w:val="25"/>
        </w:rPr>
      </w:pPr>
    </w:p>
    <w:p>
      <w:pPr>
        <w:pStyle w:val="BodyText"/>
        <w:tabs>
          <w:tab w:pos="5080" w:val="left" w:leader="none"/>
        </w:tabs>
        <w:spacing w:before="0"/>
        <w:ind w:left="174"/>
        <w:jc w:val="center"/>
      </w:pPr>
      <w:r>
        <w:rPr>
          <w:u w:val="single"/>
        </w:rPr>
        <w:t>Fall</w:t>
      </w:r>
      <w:r>
        <w:rPr>
          <w:spacing w:val="-1"/>
          <w:u w:val="single"/>
        </w:rPr>
        <w:t> </w:t>
      </w:r>
      <w:r>
        <w:rPr>
          <w:u w:val="single"/>
        </w:rPr>
        <w:t>Semester^</w:t>
      </w:r>
      <w:r>
        <w:rPr/>
        <w:tab/>
      </w:r>
      <w:r>
        <w:rPr>
          <w:u w:val="single"/>
        </w:rPr>
        <w:t>Spring</w:t>
      </w:r>
      <w:r>
        <w:rPr>
          <w:spacing w:val="-1"/>
          <w:u w:val="single"/>
        </w:rPr>
        <w:t> </w:t>
      </w:r>
      <w:r>
        <w:rPr>
          <w:u w:val="single"/>
        </w:rPr>
        <w:t>Semester^</w:t>
      </w:r>
    </w:p>
    <w:p>
      <w:pPr>
        <w:spacing w:after="0"/>
        <w:jc w:val="center"/>
        <w:sectPr>
          <w:pgSz w:w="12240" w:h="15840"/>
          <w:pgMar w:header="0" w:footer="1548" w:top="1360" w:bottom="1740" w:left="1340" w:right="1380"/>
        </w:sectPr>
      </w:pPr>
    </w:p>
    <w:p>
      <w:pPr>
        <w:pStyle w:val="BodyText"/>
        <w:spacing w:before="19"/>
        <w:rPr>
          <w:rFonts w:ascii="Calibri"/>
          <w:sz w:val="16"/>
        </w:rPr>
      </w:pPr>
      <w:r>
        <w:rPr/>
        <w:t>HLTH 500</w:t>
      </w:r>
      <w:r>
        <w:rPr>
          <w:rFonts w:ascii="Calibri"/>
          <w:position w:val="8"/>
          <w:sz w:val="16"/>
        </w:rPr>
        <w:t>#</w:t>
      </w:r>
    </w:p>
    <w:p>
      <w:pPr>
        <w:pStyle w:val="BodyText"/>
        <w:spacing w:before="34"/>
      </w:pPr>
      <w:r>
        <w:rPr/>
        <w:t>HLTH 501</w:t>
      </w:r>
    </w:p>
    <w:p>
      <w:pPr>
        <w:pStyle w:val="BodyText"/>
        <w:spacing w:before="23"/>
      </w:pPr>
      <w:r>
        <w:rPr/>
        <w:t>HLTH 503</w:t>
      </w:r>
    </w:p>
    <w:p>
      <w:pPr>
        <w:pStyle w:val="BodyText"/>
        <w:spacing w:before="21"/>
      </w:pPr>
      <w:r>
        <w:rPr/>
        <w:t>HLTH 505</w:t>
      </w:r>
    </w:p>
    <w:p>
      <w:pPr>
        <w:pStyle w:val="BodyText"/>
        <w:spacing w:before="22"/>
      </w:pPr>
      <w:r>
        <w:rPr/>
        <w:t>HLTH 507</w:t>
      </w:r>
    </w:p>
    <w:p>
      <w:pPr>
        <w:pStyle w:val="BodyText"/>
        <w:spacing w:before="21"/>
      </w:pPr>
      <w:r>
        <w:rPr/>
        <w:t>HLTH 509</w:t>
      </w:r>
    </w:p>
    <w:p>
      <w:pPr>
        <w:pStyle w:val="BodyText"/>
        <w:spacing w:before="22"/>
      </w:pPr>
      <w:r>
        <w:rPr/>
        <w:t>HLTH 511</w:t>
      </w:r>
    </w:p>
    <w:p>
      <w:pPr>
        <w:pStyle w:val="BodyText"/>
        <w:spacing w:before="23"/>
      </w:pPr>
      <w:r>
        <w:rPr/>
        <w:t>HLTH 551</w:t>
      </w:r>
    </w:p>
    <w:p>
      <w:pPr>
        <w:pStyle w:val="BodyText"/>
        <w:spacing w:before="21"/>
      </w:pPr>
      <w:r>
        <w:rPr/>
        <w:t>HLTH 552</w:t>
      </w:r>
    </w:p>
    <w:p>
      <w:pPr>
        <w:pStyle w:val="BodyText"/>
        <w:spacing w:before="22"/>
      </w:pPr>
      <w:r>
        <w:rPr/>
        <w:t>HLTH 553</w:t>
      </w:r>
    </w:p>
    <w:p>
      <w:pPr>
        <w:pStyle w:val="BodyText"/>
        <w:spacing w:before="6"/>
        <w:rPr>
          <w:sz w:val="16"/>
        </w:rPr>
      </w:pPr>
      <w:r>
        <w:rPr/>
        <w:t>HLTH 620</w:t>
      </w:r>
      <w:r>
        <w:rPr>
          <w:position w:val="9"/>
          <w:sz w:val="16"/>
        </w:rPr>
        <w:t>#</w:t>
      </w:r>
    </w:p>
    <w:p>
      <w:pPr>
        <w:pStyle w:val="BodyText"/>
        <w:spacing w:before="21"/>
      </w:pPr>
      <w:r>
        <w:rPr/>
        <w:br w:type="column"/>
      </w:r>
      <w:r>
        <w:rPr/>
        <w:t>HLTH 622</w:t>
      </w:r>
    </w:p>
    <w:p>
      <w:pPr>
        <w:pStyle w:val="BodyText"/>
        <w:spacing w:before="22"/>
      </w:pPr>
      <w:r>
        <w:rPr/>
        <w:t>HLTH 625</w:t>
      </w:r>
    </w:p>
    <w:p>
      <w:pPr>
        <w:pStyle w:val="BodyText"/>
        <w:spacing w:before="6"/>
        <w:rPr>
          <w:sz w:val="16"/>
        </w:rPr>
      </w:pPr>
      <w:r>
        <w:rPr/>
        <w:t>HLTH 630</w:t>
      </w:r>
      <w:r>
        <w:rPr>
          <w:position w:val="9"/>
          <w:sz w:val="16"/>
        </w:rPr>
        <w:t>#</w:t>
      </w:r>
    </w:p>
    <w:p>
      <w:pPr>
        <w:spacing w:before="24"/>
        <w:ind w:left="100" w:right="0" w:firstLine="0"/>
        <w:jc w:val="left"/>
        <w:rPr>
          <w:sz w:val="22"/>
        </w:rPr>
      </w:pPr>
      <w:r>
        <w:rPr>
          <w:sz w:val="22"/>
        </w:rPr>
        <w:t>HLTH 632</w:t>
      </w:r>
    </w:p>
    <w:p>
      <w:pPr>
        <w:spacing w:before="19"/>
        <w:ind w:left="100" w:right="0" w:firstLine="0"/>
        <w:jc w:val="left"/>
        <w:rPr>
          <w:sz w:val="22"/>
        </w:rPr>
      </w:pPr>
      <w:r>
        <w:rPr>
          <w:sz w:val="22"/>
        </w:rPr>
        <w:t>HLTH 635</w:t>
      </w:r>
    </w:p>
    <w:p>
      <w:pPr>
        <w:spacing w:before="22"/>
        <w:ind w:left="100" w:right="0" w:firstLine="0"/>
        <w:jc w:val="left"/>
        <w:rPr>
          <w:sz w:val="20"/>
        </w:rPr>
      </w:pPr>
      <w:r>
        <w:rPr/>
        <w:br w:type="column"/>
      </w:r>
      <w:r>
        <w:rPr>
          <w:sz w:val="20"/>
        </w:rPr>
        <w:t>HLTH 500#</w:t>
      </w:r>
    </w:p>
    <w:p>
      <w:pPr>
        <w:spacing w:before="18"/>
        <w:ind w:left="100" w:right="0" w:firstLine="0"/>
        <w:jc w:val="left"/>
        <w:rPr>
          <w:sz w:val="20"/>
        </w:rPr>
      </w:pPr>
      <w:r>
        <w:rPr>
          <w:sz w:val="20"/>
        </w:rPr>
        <w:t>HLTH 501</w:t>
      </w:r>
    </w:p>
    <w:p>
      <w:pPr>
        <w:spacing w:before="18"/>
        <w:ind w:left="100" w:right="0" w:firstLine="0"/>
        <w:jc w:val="left"/>
        <w:rPr>
          <w:sz w:val="20"/>
        </w:rPr>
      </w:pPr>
      <w:r>
        <w:rPr>
          <w:sz w:val="20"/>
        </w:rPr>
        <w:t>HLTH 503</w:t>
      </w:r>
    </w:p>
    <w:p>
      <w:pPr>
        <w:spacing w:before="18"/>
        <w:ind w:left="100" w:right="0" w:firstLine="0"/>
        <w:jc w:val="left"/>
        <w:rPr>
          <w:sz w:val="20"/>
        </w:rPr>
      </w:pPr>
      <w:r>
        <w:rPr>
          <w:sz w:val="20"/>
        </w:rPr>
        <w:t>HLTH 505</w:t>
      </w:r>
    </w:p>
    <w:p>
      <w:pPr>
        <w:spacing w:before="18"/>
        <w:ind w:left="100" w:right="0" w:firstLine="0"/>
        <w:jc w:val="left"/>
        <w:rPr>
          <w:sz w:val="20"/>
        </w:rPr>
      </w:pPr>
      <w:r>
        <w:rPr>
          <w:sz w:val="20"/>
        </w:rPr>
        <w:t>HLTH 507</w:t>
      </w:r>
    </w:p>
    <w:p>
      <w:pPr>
        <w:spacing w:before="18"/>
        <w:ind w:left="100" w:right="0" w:firstLine="0"/>
        <w:jc w:val="left"/>
        <w:rPr>
          <w:sz w:val="20"/>
        </w:rPr>
      </w:pPr>
      <w:r>
        <w:rPr/>
        <w:pict>
          <v:shape style="position:absolute;margin-left:195.520004pt;margin-top:10.400324pt;width:301.25pt;height:76.5pt;mso-position-horizontal-relative:page;mso-position-vertical-relative:paragraph;z-index: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5"/>
                    <w:gridCol w:w="2526"/>
                    <w:gridCol w:w="1702"/>
                  </w:tblGrid>
                  <w:tr>
                    <w:trPr>
                      <w:trHeight w:val="290" w:hRule="atLeast"/>
                    </w:trPr>
                    <w:tc>
                      <w:tcPr>
                        <w:tcW w:w="1795" w:type="dxa"/>
                      </w:tcPr>
                      <w:p>
                        <w:pPr>
                          <w:pStyle w:val="TableParagraph"/>
                          <w:spacing w:before="9"/>
                          <w:ind w:left="50"/>
                          <w:rPr>
                            <w:sz w:val="22"/>
                          </w:rPr>
                        </w:pPr>
                        <w:r>
                          <w:rPr>
                            <w:sz w:val="22"/>
                          </w:rPr>
                          <w:t>HLTH 640</w:t>
                        </w:r>
                        <w:r>
                          <w:rPr>
                            <w:sz w:val="22"/>
                            <w:vertAlign w:val="superscript"/>
                          </w:rPr>
                          <w:t>#</w:t>
                        </w:r>
                      </w:p>
                    </w:tc>
                    <w:tc>
                      <w:tcPr>
                        <w:tcW w:w="2526" w:type="dxa"/>
                      </w:tcPr>
                      <w:p>
                        <w:pPr>
                          <w:pStyle w:val="TableParagraph"/>
                          <w:spacing w:line="212" w:lineRule="exact" w:before="58"/>
                          <w:ind w:left="658" w:right="747"/>
                          <w:jc w:val="center"/>
                          <w:rPr>
                            <w:sz w:val="20"/>
                          </w:rPr>
                        </w:pPr>
                        <w:r>
                          <w:rPr>
                            <w:sz w:val="20"/>
                          </w:rPr>
                          <w:t>HLTH 511</w:t>
                        </w:r>
                      </w:p>
                    </w:tc>
                    <w:tc>
                      <w:tcPr>
                        <w:tcW w:w="1702" w:type="dxa"/>
                      </w:tcPr>
                      <w:p>
                        <w:pPr>
                          <w:pStyle w:val="TableParagraph"/>
                          <w:spacing w:line="212" w:lineRule="exact" w:before="58"/>
                          <w:ind w:left="769"/>
                          <w:rPr>
                            <w:sz w:val="20"/>
                          </w:rPr>
                        </w:pPr>
                        <w:r>
                          <w:rPr>
                            <w:sz w:val="20"/>
                          </w:rPr>
                          <w:t>HLTH 698</w:t>
                        </w:r>
                      </w:p>
                    </w:tc>
                  </w:tr>
                  <w:tr>
                    <w:trPr>
                      <w:trHeight w:val="259" w:hRule="atLeast"/>
                    </w:trPr>
                    <w:tc>
                      <w:tcPr>
                        <w:tcW w:w="1795" w:type="dxa"/>
                      </w:tcPr>
                      <w:p>
                        <w:pPr>
                          <w:pStyle w:val="TableParagraph"/>
                          <w:spacing w:line="240" w:lineRule="exact"/>
                          <w:ind w:left="50"/>
                          <w:rPr>
                            <w:sz w:val="22"/>
                          </w:rPr>
                        </w:pPr>
                        <w:r>
                          <w:rPr>
                            <w:sz w:val="22"/>
                          </w:rPr>
                          <w:t>HLTH 643</w:t>
                        </w:r>
                      </w:p>
                    </w:tc>
                    <w:tc>
                      <w:tcPr>
                        <w:tcW w:w="2526" w:type="dxa"/>
                      </w:tcPr>
                      <w:p>
                        <w:pPr>
                          <w:pStyle w:val="TableParagraph"/>
                          <w:spacing w:line="223" w:lineRule="exact" w:before="16"/>
                          <w:ind w:left="658" w:right="747"/>
                          <w:jc w:val="center"/>
                          <w:rPr>
                            <w:sz w:val="20"/>
                          </w:rPr>
                        </w:pPr>
                        <w:r>
                          <w:rPr>
                            <w:sz w:val="20"/>
                          </w:rPr>
                          <w:t>HLTH 554</w:t>
                        </w:r>
                      </w:p>
                    </w:tc>
                    <w:tc>
                      <w:tcPr>
                        <w:tcW w:w="1702" w:type="dxa"/>
                      </w:tcPr>
                      <w:p>
                        <w:pPr>
                          <w:pStyle w:val="TableParagraph"/>
                          <w:rPr>
                            <w:sz w:val="18"/>
                          </w:rPr>
                        </w:pPr>
                      </w:p>
                    </w:tc>
                  </w:tr>
                  <w:tr>
                    <w:trPr>
                      <w:trHeight w:val="247" w:hRule="atLeast"/>
                    </w:trPr>
                    <w:tc>
                      <w:tcPr>
                        <w:tcW w:w="1795" w:type="dxa"/>
                      </w:tcPr>
                      <w:p>
                        <w:pPr>
                          <w:pStyle w:val="TableParagraph"/>
                          <w:spacing w:line="223" w:lineRule="exact" w:before="5"/>
                          <w:ind w:left="50"/>
                          <w:rPr>
                            <w:sz w:val="20"/>
                          </w:rPr>
                        </w:pPr>
                        <w:r>
                          <w:rPr>
                            <w:sz w:val="20"/>
                          </w:rPr>
                          <w:t>HLTH 645</w:t>
                        </w:r>
                      </w:p>
                    </w:tc>
                    <w:tc>
                      <w:tcPr>
                        <w:tcW w:w="2526" w:type="dxa"/>
                      </w:tcPr>
                      <w:p>
                        <w:pPr>
                          <w:pStyle w:val="TableParagraph"/>
                          <w:spacing w:line="223" w:lineRule="exact" w:before="5"/>
                          <w:ind w:left="755" w:right="747"/>
                          <w:jc w:val="center"/>
                          <w:rPr>
                            <w:sz w:val="20"/>
                          </w:rPr>
                        </w:pPr>
                        <w:r>
                          <w:rPr>
                            <w:sz w:val="20"/>
                          </w:rPr>
                          <w:t>HLTH 620#</w:t>
                        </w:r>
                      </w:p>
                    </w:tc>
                    <w:tc>
                      <w:tcPr>
                        <w:tcW w:w="1702" w:type="dxa"/>
                      </w:tcPr>
                      <w:p>
                        <w:pPr>
                          <w:pStyle w:val="TableParagraph"/>
                          <w:rPr>
                            <w:sz w:val="18"/>
                          </w:rPr>
                        </w:pPr>
                      </w:p>
                    </w:tc>
                  </w:tr>
                  <w:tr>
                    <w:trPr>
                      <w:trHeight w:val="247" w:hRule="atLeast"/>
                    </w:trPr>
                    <w:tc>
                      <w:tcPr>
                        <w:tcW w:w="1795" w:type="dxa"/>
                      </w:tcPr>
                      <w:p>
                        <w:pPr>
                          <w:pStyle w:val="TableParagraph"/>
                          <w:spacing w:line="223" w:lineRule="exact" w:before="4"/>
                          <w:ind w:left="50"/>
                          <w:rPr>
                            <w:sz w:val="20"/>
                          </w:rPr>
                        </w:pPr>
                        <w:r>
                          <w:rPr>
                            <w:sz w:val="20"/>
                          </w:rPr>
                          <w:t>HLTH 650</w:t>
                        </w:r>
                      </w:p>
                    </w:tc>
                    <w:tc>
                      <w:tcPr>
                        <w:tcW w:w="2526" w:type="dxa"/>
                      </w:tcPr>
                      <w:p>
                        <w:pPr>
                          <w:pStyle w:val="TableParagraph"/>
                          <w:spacing w:line="223" w:lineRule="exact" w:before="4"/>
                          <w:ind w:left="658" w:right="747"/>
                          <w:jc w:val="center"/>
                          <w:rPr>
                            <w:sz w:val="20"/>
                          </w:rPr>
                        </w:pPr>
                        <w:r>
                          <w:rPr>
                            <w:sz w:val="20"/>
                          </w:rPr>
                          <w:t>HLTH 623</w:t>
                        </w:r>
                      </w:p>
                    </w:tc>
                    <w:tc>
                      <w:tcPr>
                        <w:tcW w:w="1702" w:type="dxa"/>
                      </w:tcPr>
                      <w:p>
                        <w:pPr>
                          <w:pStyle w:val="TableParagraph"/>
                          <w:rPr>
                            <w:sz w:val="18"/>
                          </w:rPr>
                        </w:pPr>
                      </w:p>
                    </w:tc>
                  </w:tr>
                  <w:tr>
                    <w:trPr>
                      <w:trHeight w:val="248" w:hRule="atLeast"/>
                    </w:trPr>
                    <w:tc>
                      <w:tcPr>
                        <w:tcW w:w="1795" w:type="dxa"/>
                      </w:tcPr>
                      <w:p>
                        <w:pPr>
                          <w:pStyle w:val="TableParagraph"/>
                          <w:spacing w:line="223" w:lineRule="exact" w:before="5"/>
                          <w:ind w:left="50"/>
                          <w:rPr>
                            <w:sz w:val="20"/>
                          </w:rPr>
                        </w:pPr>
                        <w:r>
                          <w:rPr>
                            <w:sz w:val="20"/>
                          </w:rPr>
                          <w:t>HLTH 698</w:t>
                        </w:r>
                      </w:p>
                    </w:tc>
                    <w:tc>
                      <w:tcPr>
                        <w:tcW w:w="2526" w:type="dxa"/>
                      </w:tcPr>
                      <w:p>
                        <w:pPr>
                          <w:pStyle w:val="TableParagraph"/>
                          <w:spacing w:line="223" w:lineRule="exact" w:before="5"/>
                          <w:ind w:left="658" w:right="747"/>
                          <w:jc w:val="center"/>
                          <w:rPr>
                            <w:sz w:val="20"/>
                          </w:rPr>
                        </w:pPr>
                        <w:r>
                          <w:rPr>
                            <w:sz w:val="20"/>
                          </w:rPr>
                          <w:t>HLTH 624</w:t>
                        </w:r>
                      </w:p>
                    </w:tc>
                    <w:tc>
                      <w:tcPr>
                        <w:tcW w:w="1702" w:type="dxa"/>
                      </w:tcPr>
                      <w:p>
                        <w:pPr>
                          <w:pStyle w:val="TableParagraph"/>
                          <w:rPr>
                            <w:sz w:val="18"/>
                          </w:rPr>
                        </w:pPr>
                      </w:p>
                    </w:tc>
                  </w:tr>
                  <w:tr>
                    <w:trPr>
                      <w:trHeight w:val="235" w:hRule="atLeast"/>
                    </w:trPr>
                    <w:tc>
                      <w:tcPr>
                        <w:tcW w:w="1795" w:type="dxa"/>
                      </w:tcPr>
                      <w:p>
                        <w:pPr>
                          <w:pStyle w:val="TableParagraph"/>
                          <w:rPr>
                            <w:sz w:val="16"/>
                          </w:rPr>
                        </w:pPr>
                      </w:p>
                    </w:tc>
                    <w:tc>
                      <w:tcPr>
                        <w:tcW w:w="2526" w:type="dxa"/>
                      </w:tcPr>
                      <w:p>
                        <w:pPr>
                          <w:pStyle w:val="TableParagraph"/>
                          <w:spacing w:line="210" w:lineRule="exact" w:before="5"/>
                          <w:ind w:left="755" w:right="747"/>
                          <w:jc w:val="center"/>
                          <w:rPr>
                            <w:sz w:val="20"/>
                          </w:rPr>
                        </w:pPr>
                        <w:r>
                          <w:rPr>
                            <w:sz w:val="20"/>
                          </w:rPr>
                          <w:t>HLTH 630#</w:t>
                        </w:r>
                      </w:p>
                    </w:tc>
                    <w:tc>
                      <w:tcPr>
                        <w:tcW w:w="1702" w:type="dxa"/>
                      </w:tcPr>
                      <w:p>
                        <w:pPr>
                          <w:pStyle w:val="TableParagraph"/>
                          <w:rPr>
                            <w:sz w:val="16"/>
                          </w:rPr>
                        </w:pPr>
                      </w:p>
                    </w:tc>
                  </w:tr>
                </w:tbl>
                <w:p>
                  <w:pPr>
                    <w:pStyle w:val="BodyText"/>
                    <w:spacing w:before="0"/>
                    <w:ind w:left="0"/>
                  </w:pPr>
                </w:p>
              </w:txbxContent>
            </v:textbox>
            <w10:wrap type="none"/>
          </v:shape>
        </w:pict>
      </w:r>
      <w:r>
        <w:rPr>
          <w:sz w:val="20"/>
        </w:rPr>
        <w:t>HLTH 509</w:t>
      </w:r>
    </w:p>
    <w:p>
      <w:pPr>
        <w:spacing w:before="22"/>
        <w:ind w:left="100" w:right="0" w:firstLine="0"/>
        <w:jc w:val="left"/>
        <w:rPr>
          <w:sz w:val="20"/>
        </w:rPr>
      </w:pPr>
      <w:r>
        <w:rPr/>
        <w:br w:type="column"/>
      </w:r>
      <w:r>
        <w:rPr>
          <w:sz w:val="20"/>
        </w:rPr>
        <w:t>HLTH 633</w:t>
      </w:r>
    </w:p>
    <w:p>
      <w:pPr>
        <w:spacing w:before="18"/>
        <w:ind w:left="100" w:right="0" w:firstLine="0"/>
        <w:jc w:val="left"/>
        <w:rPr>
          <w:sz w:val="20"/>
        </w:rPr>
      </w:pPr>
      <w:r>
        <w:rPr>
          <w:sz w:val="20"/>
        </w:rPr>
        <w:t>HLTH 634</w:t>
      </w:r>
    </w:p>
    <w:p>
      <w:pPr>
        <w:spacing w:before="18"/>
        <w:ind w:left="100" w:right="0" w:firstLine="0"/>
        <w:jc w:val="left"/>
        <w:rPr>
          <w:sz w:val="20"/>
        </w:rPr>
      </w:pPr>
      <w:r>
        <w:rPr>
          <w:sz w:val="20"/>
        </w:rPr>
        <w:t>HLTH 640#</w:t>
      </w:r>
    </w:p>
    <w:p>
      <w:pPr>
        <w:spacing w:before="18"/>
        <w:ind w:left="100" w:right="0" w:firstLine="0"/>
        <w:jc w:val="left"/>
        <w:rPr>
          <w:sz w:val="20"/>
        </w:rPr>
      </w:pPr>
      <w:r>
        <w:rPr>
          <w:sz w:val="20"/>
        </w:rPr>
        <w:t>HLTH 642</w:t>
      </w:r>
    </w:p>
    <w:p>
      <w:pPr>
        <w:spacing w:before="18"/>
        <w:ind w:left="100" w:right="0" w:firstLine="0"/>
        <w:jc w:val="left"/>
        <w:rPr>
          <w:sz w:val="20"/>
        </w:rPr>
      </w:pPr>
      <w:r>
        <w:rPr>
          <w:sz w:val="20"/>
        </w:rPr>
        <w:t>HLTH 644</w:t>
      </w:r>
    </w:p>
    <w:p>
      <w:pPr>
        <w:spacing w:before="18"/>
        <w:ind w:left="100" w:right="0" w:firstLine="0"/>
        <w:jc w:val="left"/>
        <w:rPr>
          <w:sz w:val="20"/>
        </w:rPr>
      </w:pPr>
      <w:r>
        <w:rPr>
          <w:sz w:val="20"/>
        </w:rPr>
        <w:t>HLTH 651</w:t>
      </w:r>
    </w:p>
    <w:sectPr>
      <w:type w:val="continuous"/>
      <w:pgSz w:w="12240" w:h="15840"/>
      <w:pgMar w:top="1380" w:bottom="1740" w:left="1340" w:right="1380"/>
      <w:cols w:num="4" w:equalWidth="0">
        <w:col w:w="1280" w:space="1240"/>
        <w:col w:w="1279" w:space="1242"/>
        <w:col w:w="1124" w:space="1396"/>
        <w:col w:w="195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71pt;margin-top:703.625pt;width:464.05pt;height:53.25pt;mso-position-horizontal-relative:page;mso-position-vertical-relative:page;z-index:-5464" type="#_x0000_t202" filled="false" stroked="false">
          <v:textbox inset="0,0,0,0">
            <w:txbxContent>
              <w:p>
                <w:pPr>
                  <w:spacing w:line="241" w:lineRule="exact" w:before="0"/>
                  <w:ind w:left="20" w:right="0" w:firstLine="0"/>
                  <w:jc w:val="left"/>
                  <w:rPr>
                    <w:rFonts w:ascii="Calibri"/>
                    <w:sz w:val="22"/>
                  </w:rPr>
                </w:pPr>
                <w:r>
                  <w:rPr>
                    <w:rFonts w:ascii="Calibri"/>
                    <w:sz w:val="22"/>
                  </w:rPr>
                  <w:t>*indicates essential information for advising</w:t>
                </w:r>
              </w:p>
              <w:p>
                <w:pPr>
                  <w:spacing w:line="270" w:lineRule="exact" w:before="0"/>
                  <w:ind w:left="20" w:right="0" w:firstLine="0"/>
                  <w:jc w:val="left"/>
                  <w:rPr>
                    <w:rFonts w:ascii="Calibri"/>
                    <w:sz w:val="22"/>
                  </w:rPr>
                </w:pPr>
                <w:r>
                  <w:rPr>
                    <w:rFonts w:ascii="Calibri"/>
                    <w:position w:val="8"/>
                    <w:sz w:val="14"/>
                  </w:rPr>
                  <w:t>#</w:t>
                </w:r>
                <w:r>
                  <w:rPr>
                    <w:rFonts w:ascii="Calibri"/>
                    <w:sz w:val="22"/>
                  </w:rPr>
                  <w:t>indicates offering will vary by number of students entering the concentration in a given semester</w:t>
                </w:r>
              </w:p>
              <w:p>
                <w:pPr>
                  <w:spacing w:before="0"/>
                  <w:ind w:left="20" w:right="-3" w:firstLine="0"/>
                  <w:jc w:val="left"/>
                  <w:rPr>
                    <w:rFonts w:ascii="Calibri"/>
                    <w:sz w:val="22"/>
                  </w:rPr>
                </w:pPr>
                <w:r>
                  <w:rPr>
                    <w:rFonts w:ascii="Calibri"/>
                    <w:sz w:val="22"/>
                  </w:rPr>
                  <w:t>^Students should plan to take concentration courses in the semester offered and be aware the rotation of these courses may vary from the published list based on current student enrollments.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70" w:hanging="360"/>
      </w:pPr>
      <w:rPr>
        <w:rFonts w:hint="default"/>
        <w:w w:val="100"/>
        <w:lang w:val="en-us" w:eastAsia="en-us" w:bidi="en-us"/>
      </w:rPr>
    </w:lvl>
    <w:lvl w:ilvl="1">
      <w:start w:val="0"/>
      <w:numFmt w:val="bullet"/>
      <w:lvlText w:val=""/>
      <w:lvlJc w:val="left"/>
      <w:pPr>
        <w:ind w:left="1810" w:hanging="360"/>
      </w:pPr>
      <w:rPr>
        <w:rFonts w:hint="default" w:ascii="Wingdings" w:hAnsi="Wingdings" w:eastAsia="Wingdings" w:cs="Wingdings"/>
        <w:w w:val="100"/>
        <w:sz w:val="24"/>
        <w:szCs w:val="24"/>
        <w:lang w:val="en-us" w:eastAsia="en-us" w:bidi="en-us"/>
      </w:rPr>
    </w:lvl>
    <w:lvl w:ilvl="2">
      <w:start w:val="0"/>
      <w:numFmt w:val="bullet"/>
      <w:lvlText w:val="•"/>
      <w:lvlJc w:val="left"/>
      <w:pPr>
        <w:ind w:left="2675" w:hanging="360"/>
      </w:pPr>
      <w:rPr>
        <w:rFonts w:hint="default"/>
        <w:lang w:val="en-us" w:eastAsia="en-us" w:bidi="en-us"/>
      </w:rPr>
    </w:lvl>
    <w:lvl w:ilvl="3">
      <w:start w:val="0"/>
      <w:numFmt w:val="bullet"/>
      <w:lvlText w:val="•"/>
      <w:lvlJc w:val="left"/>
      <w:pPr>
        <w:ind w:left="3531" w:hanging="360"/>
      </w:pPr>
      <w:rPr>
        <w:rFonts w:hint="default"/>
        <w:lang w:val="en-us" w:eastAsia="en-us" w:bidi="en-us"/>
      </w:rPr>
    </w:lvl>
    <w:lvl w:ilvl="4">
      <w:start w:val="0"/>
      <w:numFmt w:val="bullet"/>
      <w:lvlText w:val="•"/>
      <w:lvlJc w:val="left"/>
      <w:pPr>
        <w:ind w:left="4386" w:hanging="360"/>
      </w:pPr>
      <w:rPr>
        <w:rFonts w:hint="default"/>
        <w:lang w:val="en-us" w:eastAsia="en-us" w:bidi="en-us"/>
      </w:rPr>
    </w:lvl>
    <w:lvl w:ilvl="5">
      <w:start w:val="0"/>
      <w:numFmt w:val="bullet"/>
      <w:lvlText w:val="•"/>
      <w:lvlJc w:val="left"/>
      <w:pPr>
        <w:ind w:left="5242" w:hanging="360"/>
      </w:pPr>
      <w:rPr>
        <w:rFonts w:hint="default"/>
        <w:lang w:val="en-us" w:eastAsia="en-us" w:bidi="en-us"/>
      </w:rPr>
    </w:lvl>
    <w:lvl w:ilvl="6">
      <w:start w:val="0"/>
      <w:numFmt w:val="bullet"/>
      <w:lvlText w:val="•"/>
      <w:lvlJc w:val="left"/>
      <w:pPr>
        <w:ind w:left="6097" w:hanging="360"/>
      </w:pPr>
      <w:rPr>
        <w:rFonts w:hint="default"/>
        <w:lang w:val="en-us" w:eastAsia="en-us" w:bidi="en-us"/>
      </w:rPr>
    </w:lvl>
    <w:lvl w:ilvl="7">
      <w:start w:val="0"/>
      <w:numFmt w:val="bullet"/>
      <w:lvlText w:val="•"/>
      <w:lvlJc w:val="left"/>
      <w:pPr>
        <w:ind w:left="6953" w:hanging="360"/>
      </w:pPr>
      <w:rPr>
        <w:rFonts w:hint="default"/>
        <w:lang w:val="en-us" w:eastAsia="en-us" w:bidi="en-us"/>
      </w:rPr>
    </w:lvl>
    <w:lvl w:ilvl="8">
      <w:start w:val="0"/>
      <w:numFmt w:val="bullet"/>
      <w:lvlText w:val="•"/>
      <w:lvlJc w:val="left"/>
      <w:pPr>
        <w:ind w:left="7808" w:hanging="360"/>
      </w:pPr>
      <w:rPr>
        <w:rFonts w:hint="default"/>
        <w:lang w:val="en-us" w:eastAsia="en-us" w:bidi="en-us"/>
      </w:rPr>
    </w:lvl>
  </w:abstractNum>
  <w:abstractNum w:abstractNumId="2">
    <w:multiLevelType w:val="hybridMultilevel"/>
    <w:lvl w:ilvl="0">
      <w:start w:val="0"/>
      <w:numFmt w:val="bullet"/>
      <w:lvlText w:val=""/>
      <w:lvlJc w:val="left"/>
      <w:pPr>
        <w:ind w:left="1180" w:hanging="360"/>
      </w:pPr>
      <w:rPr>
        <w:rFonts w:hint="default"/>
        <w:w w:val="100"/>
        <w:lang w:val="en-us" w:eastAsia="en-us" w:bidi="en-us"/>
      </w:rPr>
    </w:lvl>
    <w:lvl w:ilvl="1">
      <w:start w:val="0"/>
      <w:numFmt w:val="bullet"/>
      <w:lvlText w:val="•"/>
      <w:lvlJc w:val="left"/>
      <w:pPr>
        <w:ind w:left="2014" w:hanging="360"/>
      </w:pPr>
      <w:rPr>
        <w:rFonts w:hint="default"/>
        <w:lang w:val="en-us" w:eastAsia="en-us" w:bidi="en-us"/>
      </w:rPr>
    </w:lvl>
    <w:lvl w:ilvl="2">
      <w:start w:val="0"/>
      <w:numFmt w:val="bullet"/>
      <w:lvlText w:val="•"/>
      <w:lvlJc w:val="left"/>
      <w:pPr>
        <w:ind w:left="2848" w:hanging="360"/>
      </w:pPr>
      <w:rPr>
        <w:rFonts w:hint="default"/>
        <w:lang w:val="en-us" w:eastAsia="en-us" w:bidi="en-us"/>
      </w:rPr>
    </w:lvl>
    <w:lvl w:ilvl="3">
      <w:start w:val="0"/>
      <w:numFmt w:val="bullet"/>
      <w:lvlText w:val="•"/>
      <w:lvlJc w:val="left"/>
      <w:pPr>
        <w:ind w:left="3682" w:hanging="360"/>
      </w:pPr>
      <w:rPr>
        <w:rFonts w:hint="default"/>
        <w:lang w:val="en-us" w:eastAsia="en-us" w:bidi="en-us"/>
      </w:rPr>
    </w:lvl>
    <w:lvl w:ilvl="4">
      <w:start w:val="0"/>
      <w:numFmt w:val="bullet"/>
      <w:lvlText w:val="•"/>
      <w:lvlJc w:val="left"/>
      <w:pPr>
        <w:ind w:left="4516" w:hanging="360"/>
      </w:pPr>
      <w:rPr>
        <w:rFonts w:hint="default"/>
        <w:lang w:val="en-us" w:eastAsia="en-us" w:bidi="en-us"/>
      </w:rPr>
    </w:lvl>
    <w:lvl w:ilvl="5">
      <w:start w:val="0"/>
      <w:numFmt w:val="bullet"/>
      <w:lvlText w:val="•"/>
      <w:lvlJc w:val="left"/>
      <w:pPr>
        <w:ind w:left="5350" w:hanging="360"/>
      </w:pPr>
      <w:rPr>
        <w:rFonts w:hint="default"/>
        <w:lang w:val="en-us" w:eastAsia="en-us" w:bidi="en-us"/>
      </w:rPr>
    </w:lvl>
    <w:lvl w:ilvl="6">
      <w:start w:val="0"/>
      <w:numFmt w:val="bullet"/>
      <w:lvlText w:val="•"/>
      <w:lvlJc w:val="left"/>
      <w:pPr>
        <w:ind w:left="6184" w:hanging="360"/>
      </w:pPr>
      <w:rPr>
        <w:rFonts w:hint="default"/>
        <w:lang w:val="en-us" w:eastAsia="en-us" w:bidi="en-us"/>
      </w:rPr>
    </w:lvl>
    <w:lvl w:ilvl="7">
      <w:start w:val="0"/>
      <w:numFmt w:val="bullet"/>
      <w:lvlText w:val="•"/>
      <w:lvlJc w:val="left"/>
      <w:pPr>
        <w:ind w:left="7018" w:hanging="360"/>
      </w:pPr>
      <w:rPr>
        <w:rFonts w:hint="default"/>
        <w:lang w:val="en-us" w:eastAsia="en-us" w:bidi="en-us"/>
      </w:rPr>
    </w:lvl>
    <w:lvl w:ilvl="8">
      <w:start w:val="0"/>
      <w:numFmt w:val="bullet"/>
      <w:lvlText w:val="•"/>
      <w:lvlJc w:val="left"/>
      <w:pPr>
        <w:ind w:left="7852" w:hanging="360"/>
      </w:pPr>
      <w:rPr>
        <w:rFonts w:hint="default"/>
        <w:lang w:val="en-us" w:eastAsia="en-us" w:bidi="en-us"/>
      </w:rPr>
    </w:lvl>
  </w:abstractNum>
  <w:abstractNum w:abstractNumId="1">
    <w:multiLevelType w:val="hybridMultilevel"/>
    <w:lvl w:ilvl="0">
      <w:start w:val="1"/>
      <w:numFmt w:val="lowerLetter"/>
      <w:lvlText w:val="%1."/>
      <w:lvlJc w:val="left"/>
      <w:pPr>
        <w:ind w:left="1540" w:hanging="270"/>
        <w:jc w:val="left"/>
      </w:pPr>
      <w:rPr>
        <w:rFonts w:hint="default" w:ascii="Times New Roman" w:hAnsi="Times New Roman" w:eastAsia="Times New Roman" w:cs="Times New Roman"/>
        <w:spacing w:val="-17"/>
        <w:w w:val="99"/>
        <w:sz w:val="24"/>
        <w:szCs w:val="24"/>
        <w:lang w:val="en-us" w:eastAsia="en-us" w:bidi="en-us"/>
      </w:rPr>
    </w:lvl>
    <w:lvl w:ilvl="1">
      <w:start w:val="1"/>
      <w:numFmt w:val="lowerRoman"/>
      <w:lvlText w:val="%2."/>
      <w:lvlJc w:val="left"/>
      <w:pPr>
        <w:ind w:left="1900" w:hanging="360"/>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746" w:hanging="360"/>
      </w:pPr>
      <w:rPr>
        <w:rFonts w:hint="default"/>
        <w:lang w:val="en-us" w:eastAsia="en-us" w:bidi="en-us"/>
      </w:rPr>
    </w:lvl>
    <w:lvl w:ilvl="3">
      <w:start w:val="0"/>
      <w:numFmt w:val="bullet"/>
      <w:lvlText w:val="•"/>
      <w:lvlJc w:val="left"/>
      <w:pPr>
        <w:ind w:left="3593" w:hanging="360"/>
      </w:pPr>
      <w:rPr>
        <w:rFonts w:hint="default"/>
        <w:lang w:val="en-us" w:eastAsia="en-us" w:bidi="en-us"/>
      </w:rPr>
    </w:lvl>
    <w:lvl w:ilvl="4">
      <w:start w:val="0"/>
      <w:numFmt w:val="bullet"/>
      <w:lvlText w:val="•"/>
      <w:lvlJc w:val="left"/>
      <w:pPr>
        <w:ind w:left="4440" w:hanging="360"/>
      </w:pPr>
      <w:rPr>
        <w:rFonts w:hint="default"/>
        <w:lang w:val="en-us" w:eastAsia="en-us" w:bidi="en-us"/>
      </w:rPr>
    </w:lvl>
    <w:lvl w:ilvl="5">
      <w:start w:val="0"/>
      <w:numFmt w:val="bullet"/>
      <w:lvlText w:val="•"/>
      <w:lvlJc w:val="left"/>
      <w:pPr>
        <w:ind w:left="5286" w:hanging="360"/>
      </w:pPr>
      <w:rPr>
        <w:rFonts w:hint="default"/>
        <w:lang w:val="en-us" w:eastAsia="en-us" w:bidi="en-us"/>
      </w:rPr>
    </w:lvl>
    <w:lvl w:ilvl="6">
      <w:start w:val="0"/>
      <w:numFmt w:val="bullet"/>
      <w:lvlText w:val="•"/>
      <w:lvlJc w:val="left"/>
      <w:pPr>
        <w:ind w:left="6133" w:hanging="360"/>
      </w:pPr>
      <w:rPr>
        <w:rFonts w:hint="default"/>
        <w:lang w:val="en-us" w:eastAsia="en-us" w:bidi="en-us"/>
      </w:rPr>
    </w:lvl>
    <w:lvl w:ilvl="7">
      <w:start w:val="0"/>
      <w:numFmt w:val="bullet"/>
      <w:lvlText w:val="•"/>
      <w:lvlJc w:val="left"/>
      <w:pPr>
        <w:ind w:left="6980" w:hanging="360"/>
      </w:pPr>
      <w:rPr>
        <w:rFonts w:hint="default"/>
        <w:lang w:val="en-us" w:eastAsia="en-us" w:bidi="en-us"/>
      </w:rPr>
    </w:lvl>
    <w:lvl w:ilvl="8">
      <w:start w:val="0"/>
      <w:numFmt w:val="bullet"/>
      <w:lvlText w:val="•"/>
      <w:lvlJc w:val="left"/>
      <w:pPr>
        <w:ind w:left="7826" w:hanging="360"/>
      </w:pPr>
      <w:rPr>
        <w:rFonts w:hint="default"/>
        <w:lang w:val="en-us" w:eastAsia="en-us" w:bidi="en-us"/>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20"/>
      <w:ind w:left="10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22"/>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120"/>
      <w:ind w:left="11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Richard A (Public &amp; Community Health)</dc:creator>
  <dcterms:created xsi:type="dcterms:W3CDTF">2018-06-29T15:31:03Z</dcterms:created>
  <dcterms:modified xsi:type="dcterms:W3CDTF">2018-06-29T15:31:03Z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2016</vt:lpwstr>
  </property>
  <property fmtid="{D5CDD505-2E9C-101B-9397-08002B2CF9AE}" pid="4" name="LastSaved">
    <vt:filetime>2018-06-29T00:00:00Z</vt:filetime>
  </property>
</Properties>
</file>