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37" w:rsidRPr="00207B37" w:rsidRDefault="00207B37" w:rsidP="00207B37">
      <w:pPr>
        <w:rPr>
          <w:rFonts w:ascii="Garamond" w:hAnsi="Garamond"/>
          <w:b/>
          <w:color w:val="44546A" w:themeColor="text2"/>
          <w:sz w:val="40"/>
          <w:szCs w:val="24"/>
        </w:rPr>
      </w:pPr>
      <w:r w:rsidRPr="00207B37">
        <w:rPr>
          <w:rFonts w:ascii="Garamond" w:hAnsi="Garamond"/>
          <w:b/>
          <w:color w:val="44546A" w:themeColor="text2"/>
          <w:sz w:val="40"/>
          <w:szCs w:val="24"/>
        </w:rPr>
        <w:t xml:space="preserve">Progression/Retention/Dismissal </w:t>
      </w:r>
    </w:p>
    <w:p w:rsid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The Doctor of Nursing Practice Academic Progression Policy applies to all coursework completed during enrollment in the DNP program. Policies of the Graduate School on academic performance, code of conduct/academic dishonesty and professional /personal integrity are incorporated into the DNP program requirement to maintain enrollment: </w:t>
      </w:r>
    </w:p>
    <w:p w:rsidR="00207B37" w:rsidRPr="00207B37" w:rsidRDefault="00207B37" w:rsidP="00207B37">
      <w:pPr>
        <w:spacing w:after="0" w:line="240" w:lineRule="auto"/>
        <w:contextualSpacing/>
        <w:rPr>
          <w:rFonts w:ascii="Garamond" w:hAnsi="Garamond"/>
          <w:color w:val="44546A" w:themeColor="text2"/>
          <w:sz w:val="24"/>
          <w:szCs w:val="24"/>
        </w:rPr>
      </w:pP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Students must meet all pre-requisites for courses and take courses in the sequencing provided in the degree completion plan to ensure proper progression. </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Students must maintain an overall program GPA of 3.0. • Students must achieve a grade of B or greater in all course work. </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Students must have satisfactory performance evaluations from faculty and preceptor in all FNP/DNP practicum courses. </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Students must maintain an active unencumbered RN and if applicable APRN license while enrolled in the program. Any sanctions occurring on the student’s license during enrollment in the program must be immediately reported to the DNP Program Chair.</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 Satisfactory and professional behavior must be exhibited at all times while enrolled in the program. The nursing faculty reserves the right to dismiss from the program students who exhibit unprofessional, immoral or unethical behavior. </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Students must make successful progress and complete a scholarly project</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Post-BSN DNP students must also pass a comprehensive exam prior to enrollment in NURS 839. </w:t>
      </w:r>
    </w:p>
    <w:p w:rsidR="00207B37" w:rsidRPr="00207B37" w:rsidRDefault="00207B37" w:rsidP="00207B37">
      <w:pPr>
        <w:spacing w:after="0" w:line="360" w:lineRule="auto"/>
        <w:contextualSpacing/>
        <w:rPr>
          <w:rFonts w:ascii="Garamond" w:hAnsi="Garamond"/>
          <w:color w:val="44546A" w:themeColor="text2"/>
          <w:sz w:val="24"/>
          <w:szCs w:val="24"/>
        </w:rPr>
      </w:pPr>
      <w:r w:rsidRPr="00207B37">
        <w:rPr>
          <w:rFonts w:ascii="Garamond" w:hAnsi="Garamond"/>
          <w:color w:val="44546A" w:themeColor="text2"/>
          <w:sz w:val="24"/>
          <w:szCs w:val="24"/>
        </w:rPr>
        <w:t>• Students must comply with additional practicum site requirements as directed by the practicum site if they choose placement at that locale, i.e. annual background check and drug screen.</w:t>
      </w:r>
    </w:p>
    <w:p w:rsidR="00207B37" w:rsidRP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w:t>
      </w:r>
    </w:p>
    <w:p w:rsid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NOTE: Problems arising from any of these areas may result in remediation plans, written warnings, program probation, immediate withdrawal from clinical/practicum settings, and dismissal from the program among other actions. In addition to Graduate School Policies, the DNP program may issue a warning letter and /or plan of remediation if applicable, or recommend a student be </w:t>
      </w:r>
      <w:bookmarkStart w:id="0" w:name="_GoBack"/>
      <w:bookmarkEnd w:id="0"/>
      <w:r w:rsidRPr="00207B37">
        <w:rPr>
          <w:rFonts w:ascii="Garamond" w:hAnsi="Garamond"/>
          <w:color w:val="44546A" w:themeColor="text2"/>
          <w:sz w:val="24"/>
          <w:szCs w:val="24"/>
        </w:rPr>
        <w:t xml:space="preserve">dismissed from the DNP program for any of the following: </w:t>
      </w:r>
    </w:p>
    <w:p w:rsidR="00207B37" w:rsidRPr="00207B37" w:rsidRDefault="00207B37" w:rsidP="00207B37">
      <w:pPr>
        <w:spacing w:after="0" w:line="240" w:lineRule="auto"/>
        <w:contextualSpacing/>
        <w:rPr>
          <w:rFonts w:ascii="Garamond" w:hAnsi="Garamond"/>
          <w:color w:val="44546A" w:themeColor="text2"/>
          <w:sz w:val="24"/>
          <w:szCs w:val="24"/>
        </w:rPr>
      </w:pPr>
    </w:p>
    <w:p w:rsidR="00207B37" w:rsidRP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xml:space="preserve">• A pattern of withdrawals from course work/practicum/clinical classes, incomplete grades, low grades, or GPA </w:t>
      </w:r>
    </w:p>
    <w:p w:rsidR="00207B37" w:rsidRP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Unsafe/unprofessional behaviors in academic, practicum, or clinical settings</w:t>
      </w:r>
    </w:p>
    <w:p w:rsidR="00207B37" w:rsidRP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Unsatisfactory performance in the practicum/clinical setting</w:t>
      </w:r>
    </w:p>
    <w:p w:rsidR="00207B37" w:rsidRPr="00207B37" w:rsidRDefault="00207B37" w:rsidP="00207B37">
      <w:pPr>
        <w:spacing w:after="0" w:line="240" w:lineRule="auto"/>
        <w:contextualSpacing/>
        <w:rPr>
          <w:rFonts w:ascii="Garamond" w:hAnsi="Garamond"/>
          <w:color w:val="44546A" w:themeColor="text2"/>
          <w:sz w:val="24"/>
          <w:szCs w:val="24"/>
        </w:rPr>
      </w:pPr>
      <w:r w:rsidRPr="00207B37">
        <w:rPr>
          <w:rFonts w:ascii="Garamond" w:hAnsi="Garamond"/>
          <w:color w:val="44546A" w:themeColor="text2"/>
          <w:sz w:val="24"/>
          <w:szCs w:val="24"/>
        </w:rPr>
        <w:t>• Completing a clinical or practicum course without satisfactory performance or progress in obtaining course objectives, learning outcomes, practicum/clinical hours, clinical/practicum performance, or progress towards completion of the practicum / program requirements or the scholarly project</w:t>
      </w:r>
    </w:p>
    <w:sectPr w:rsidR="00207B37" w:rsidRPr="00207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37"/>
    <w:rsid w:val="00207B37"/>
    <w:rsid w:val="004D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65DE-C14B-4E3D-8DB7-1479525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Runions, Amanda Rae (Doctoral Nursing)</dc:creator>
  <cp:keywords/>
  <dc:description/>
  <cp:lastModifiedBy>Runions, Amanda Rae (Doctoral Nursing)</cp:lastModifiedBy>
  <cp:revision>1</cp:revision>
  <dcterms:created xsi:type="dcterms:W3CDTF">2015-06-02T16:36:00Z</dcterms:created>
  <dcterms:modified xsi:type="dcterms:W3CDTF">2015-06-03T17:55:00Z</dcterms:modified>
</cp:coreProperties>
</file>