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E5D" w:rsidRDefault="00084B67" w:rsidP="00825725">
      <w:pPr>
        <w:spacing w:line="240" w:lineRule="auto"/>
        <w:contextualSpacing/>
        <w:jc w:val="center"/>
        <w:rPr>
          <w:rFonts w:cs="Times New Roman"/>
          <w:b/>
          <w:sz w:val="28"/>
          <w:szCs w:val="24"/>
        </w:rPr>
      </w:pPr>
      <w:r>
        <w:rPr>
          <w:rFonts w:cs="Times New Roman"/>
          <w:b/>
          <w:sz w:val="28"/>
          <w:szCs w:val="24"/>
        </w:rPr>
        <w:t>BSL-1</w:t>
      </w:r>
    </w:p>
    <w:p w:rsidR="0079474A" w:rsidRDefault="00F51292" w:rsidP="00825725">
      <w:pPr>
        <w:spacing w:line="240" w:lineRule="auto"/>
        <w:contextualSpacing/>
        <w:jc w:val="center"/>
        <w:rPr>
          <w:rFonts w:cs="Times New Roman"/>
          <w:b/>
          <w:sz w:val="28"/>
          <w:szCs w:val="24"/>
        </w:rPr>
      </w:pPr>
      <w:r>
        <w:rPr>
          <w:rFonts w:cs="Times New Roman"/>
          <w:b/>
          <w:sz w:val="28"/>
          <w:szCs w:val="24"/>
        </w:rPr>
        <w:t>LABORATORY BIOSAFETY COMPLIANCE INSPECTION CHECKLIST</w:t>
      </w:r>
    </w:p>
    <w:p w:rsidR="0079474A" w:rsidRDefault="0079474A" w:rsidP="00825725">
      <w:pPr>
        <w:spacing w:line="240" w:lineRule="auto"/>
        <w:contextualSpacing/>
        <w:jc w:val="center"/>
        <w:rPr>
          <w:rFonts w:cs="Times New Roman"/>
          <w:b/>
          <w:sz w:val="28"/>
          <w:szCs w:val="24"/>
        </w:rPr>
      </w:pPr>
    </w:p>
    <w:p w:rsidR="0079474A" w:rsidRPr="0079474A" w:rsidRDefault="005C1888" w:rsidP="00825725">
      <w:pPr>
        <w:spacing w:line="240" w:lineRule="auto"/>
        <w:contextualSpacing/>
        <w:jc w:val="center"/>
        <w:rPr>
          <w:rFonts w:cs="Times New Roman"/>
          <w:i/>
          <w:szCs w:val="24"/>
        </w:rPr>
      </w:pPr>
      <w:r>
        <w:rPr>
          <w:rFonts w:cs="Times New Roman"/>
          <w:i/>
          <w:szCs w:val="24"/>
        </w:rPr>
        <w:t>This checklist is based on the</w:t>
      </w:r>
      <w:r w:rsidR="0079474A" w:rsidRPr="0079474A">
        <w:rPr>
          <w:rFonts w:cs="Times New Roman"/>
          <w:i/>
          <w:szCs w:val="24"/>
        </w:rPr>
        <w:t xml:space="preserve"> Biological Safety in Microbiological Biomedical and Laboratories, 5</w:t>
      </w:r>
      <w:r w:rsidR="0079474A" w:rsidRPr="0079474A">
        <w:rPr>
          <w:rFonts w:cs="Times New Roman"/>
          <w:i/>
          <w:szCs w:val="24"/>
          <w:vertAlign w:val="superscript"/>
        </w:rPr>
        <w:t>th</w:t>
      </w:r>
      <w:r>
        <w:rPr>
          <w:rFonts w:cs="Times New Roman"/>
          <w:i/>
          <w:szCs w:val="24"/>
        </w:rPr>
        <w:t xml:space="preserve"> edition.</w:t>
      </w:r>
    </w:p>
    <w:p w:rsidR="0079474A" w:rsidRDefault="00F942D2" w:rsidP="0079474A">
      <w:pPr>
        <w:spacing w:line="240" w:lineRule="auto"/>
        <w:rPr>
          <w:rFonts w:cs="Times New Roman"/>
          <w:szCs w:val="24"/>
        </w:rPr>
      </w:pPr>
      <w:r>
        <w:rPr>
          <w:rFonts w:cs="Times New Roman"/>
          <w:szCs w:val="24"/>
        </w:rPr>
        <w:t>This checklist may be used for in-house assessment or as part of a review completed by the Institutional Biosafety Committee. Contact the IBC (</w:t>
      </w:r>
      <w:hyperlink r:id="rId7" w:history="1">
        <w:r w:rsidRPr="0056393A">
          <w:rPr>
            <w:rStyle w:val="Hyperlink"/>
            <w:rFonts w:cs="Times New Roman"/>
            <w:szCs w:val="24"/>
          </w:rPr>
          <w:t>ibc@liberty.edu</w:t>
        </w:r>
      </w:hyperlink>
      <w:r>
        <w:rPr>
          <w:rFonts w:cs="Times New Roman"/>
          <w:szCs w:val="24"/>
        </w:rPr>
        <w:t xml:space="preserve">) if you have any questions or require assistance. </w:t>
      </w:r>
      <w:r w:rsidR="0079474A">
        <w:rPr>
          <w:rFonts w:cs="Times New Roman"/>
          <w:szCs w:val="24"/>
        </w:rPr>
        <w:t>The following standard and special practices, safety equipment, and facility requi</w:t>
      </w:r>
      <w:r w:rsidR="005C1888">
        <w:rPr>
          <w:rFonts w:cs="Times New Roman"/>
          <w:szCs w:val="24"/>
        </w:rPr>
        <w:t>rements apply to BSL-1 laboratories:</w:t>
      </w:r>
    </w:p>
    <w:tbl>
      <w:tblPr>
        <w:tblStyle w:val="TableGrid"/>
        <w:tblW w:w="0" w:type="auto"/>
        <w:tblLook w:val="04A0" w:firstRow="1" w:lastRow="0" w:firstColumn="1" w:lastColumn="0" w:noHBand="0" w:noVBand="1"/>
      </w:tblPr>
      <w:tblGrid>
        <w:gridCol w:w="4675"/>
        <w:gridCol w:w="4675"/>
      </w:tblGrid>
      <w:tr w:rsidR="0079474A" w:rsidRPr="0079474A" w:rsidTr="0079474A">
        <w:tc>
          <w:tcPr>
            <w:tcW w:w="9350" w:type="dxa"/>
            <w:gridSpan w:val="2"/>
            <w:shd w:val="clear" w:color="auto" w:fill="D0CECE" w:themeFill="background2" w:themeFillShade="E6"/>
          </w:tcPr>
          <w:p w:rsidR="0079474A" w:rsidRPr="0079474A" w:rsidRDefault="0079474A" w:rsidP="0079474A">
            <w:pPr>
              <w:rPr>
                <w:rFonts w:cs="Times New Roman"/>
                <w:b/>
                <w:szCs w:val="24"/>
              </w:rPr>
            </w:pPr>
            <w:r w:rsidRPr="0079474A">
              <w:rPr>
                <w:rFonts w:cs="Times New Roman"/>
                <w:b/>
                <w:szCs w:val="24"/>
              </w:rPr>
              <w:t>PROTOCOL INFORMATION</w:t>
            </w:r>
          </w:p>
        </w:tc>
      </w:tr>
      <w:tr w:rsidR="0079474A" w:rsidTr="0079474A">
        <w:tc>
          <w:tcPr>
            <w:tcW w:w="4675" w:type="dxa"/>
          </w:tcPr>
          <w:p w:rsidR="0079474A" w:rsidRDefault="0079474A" w:rsidP="0079474A">
            <w:pPr>
              <w:rPr>
                <w:rFonts w:cs="Times New Roman"/>
                <w:szCs w:val="24"/>
              </w:rPr>
            </w:pPr>
            <w:r>
              <w:rPr>
                <w:rFonts w:cs="Times New Roman"/>
                <w:szCs w:val="24"/>
              </w:rPr>
              <w:t xml:space="preserve">Date: </w:t>
            </w:r>
            <w:r>
              <w:rPr>
                <w:rFonts w:cs="Times New Roman"/>
                <w:szCs w:val="24"/>
              </w:rPr>
              <w:fldChar w:fldCharType="begin">
                <w:ffData>
                  <w:name w:val="Text7"/>
                  <w:enabled/>
                  <w:calcOnExit w:val="0"/>
                  <w:textInput/>
                </w:ffData>
              </w:fldChar>
            </w:r>
            <w:bookmarkStart w:id="0" w:name="Text7"/>
            <w:r>
              <w:rPr>
                <w:rFonts w:cs="Times New Roman"/>
                <w:szCs w:val="24"/>
              </w:rPr>
              <w:instrText xml:space="preserve"> FORMTEXT </w:instrText>
            </w:r>
            <w:r>
              <w:rPr>
                <w:rFonts w:cs="Times New Roman"/>
                <w:szCs w:val="24"/>
              </w:rPr>
            </w:r>
            <w:r>
              <w:rPr>
                <w:rFonts w:cs="Times New Roman"/>
                <w:szCs w:val="24"/>
              </w:rPr>
              <w:fldChar w:fldCharType="separate"/>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szCs w:val="24"/>
              </w:rPr>
              <w:fldChar w:fldCharType="end"/>
            </w:r>
            <w:bookmarkEnd w:id="0"/>
          </w:p>
        </w:tc>
        <w:tc>
          <w:tcPr>
            <w:tcW w:w="4675" w:type="dxa"/>
          </w:tcPr>
          <w:p w:rsidR="0079474A" w:rsidRDefault="0079474A" w:rsidP="0079474A">
            <w:pPr>
              <w:rPr>
                <w:rFonts w:cs="Times New Roman"/>
                <w:szCs w:val="24"/>
              </w:rPr>
            </w:pPr>
            <w:r>
              <w:rPr>
                <w:rFonts w:cs="Times New Roman"/>
                <w:szCs w:val="24"/>
              </w:rPr>
              <w:t xml:space="preserve">Laboratory Location: </w:t>
            </w:r>
            <w:r>
              <w:rPr>
                <w:rFonts w:cs="Times New Roman"/>
                <w:szCs w:val="24"/>
              </w:rPr>
              <w:fldChar w:fldCharType="begin">
                <w:ffData>
                  <w:name w:val="Text8"/>
                  <w:enabled/>
                  <w:calcOnExit w:val="0"/>
                  <w:textInput/>
                </w:ffData>
              </w:fldChar>
            </w:r>
            <w:bookmarkStart w:id="1" w:name="Text8"/>
            <w:r>
              <w:rPr>
                <w:rFonts w:cs="Times New Roman"/>
                <w:szCs w:val="24"/>
              </w:rPr>
              <w:instrText xml:space="preserve"> FORMTEXT </w:instrText>
            </w:r>
            <w:r>
              <w:rPr>
                <w:rFonts w:cs="Times New Roman"/>
                <w:szCs w:val="24"/>
              </w:rPr>
            </w:r>
            <w:r>
              <w:rPr>
                <w:rFonts w:cs="Times New Roman"/>
                <w:szCs w:val="24"/>
              </w:rPr>
              <w:fldChar w:fldCharType="separate"/>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szCs w:val="24"/>
              </w:rPr>
              <w:fldChar w:fldCharType="end"/>
            </w:r>
            <w:bookmarkEnd w:id="1"/>
          </w:p>
        </w:tc>
      </w:tr>
      <w:tr w:rsidR="0079474A" w:rsidTr="0079474A">
        <w:tc>
          <w:tcPr>
            <w:tcW w:w="4675" w:type="dxa"/>
          </w:tcPr>
          <w:p w:rsidR="0079474A" w:rsidRDefault="0079474A" w:rsidP="0079474A">
            <w:pPr>
              <w:rPr>
                <w:rFonts w:cs="Times New Roman"/>
                <w:szCs w:val="24"/>
              </w:rPr>
            </w:pPr>
            <w:r>
              <w:rPr>
                <w:rFonts w:cs="Times New Roman"/>
                <w:szCs w:val="24"/>
              </w:rPr>
              <w:t xml:space="preserve">IBC Protocol #: </w:t>
            </w:r>
            <w:r>
              <w:rPr>
                <w:rFonts w:cs="Times New Roman"/>
                <w:szCs w:val="24"/>
              </w:rPr>
              <w:fldChar w:fldCharType="begin">
                <w:ffData>
                  <w:name w:val="Text9"/>
                  <w:enabled/>
                  <w:calcOnExit w:val="0"/>
                  <w:textInput/>
                </w:ffData>
              </w:fldChar>
            </w:r>
            <w:bookmarkStart w:id="2" w:name="Text9"/>
            <w:r>
              <w:rPr>
                <w:rFonts w:cs="Times New Roman"/>
                <w:szCs w:val="24"/>
              </w:rPr>
              <w:instrText xml:space="preserve"> FORMTEXT </w:instrText>
            </w:r>
            <w:r>
              <w:rPr>
                <w:rFonts w:cs="Times New Roman"/>
                <w:szCs w:val="24"/>
              </w:rPr>
            </w:r>
            <w:r>
              <w:rPr>
                <w:rFonts w:cs="Times New Roman"/>
                <w:szCs w:val="24"/>
              </w:rPr>
              <w:fldChar w:fldCharType="separate"/>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szCs w:val="24"/>
              </w:rPr>
              <w:fldChar w:fldCharType="end"/>
            </w:r>
            <w:bookmarkEnd w:id="2"/>
          </w:p>
        </w:tc>
        <w:tc>
          <w:tcPr>
            <w:tcW w:w="4675" w:type="dxa"/>
          </w:tcPr>
          <w:p w:rsidR="0079474A" w:rsidRDefault="0079474A" w:rsidP="0079474A">
            <w:pPr>
              <w:rPr>
                <w:rFonts w:cs="Times New Roman"/>
                <w:szCs w:val="24"/>
              </w:rPr>
            </w:pPr>
            <w:r>
              <w:rPr>
                <w:rFonts w:cs="Times New Roman"/>
                <w:szCs w:val="24"/>
              </w:rPr>
              <w:t xml:space="preserve">Responsible Individual: </w:t>
            </w:r>
            <w:r>
              <w:rPr>
                <w:rFonts w:cs="Times New Roman"/>
                <w:szCs w:val="24"/>
              </w:rPr>
              <w:fldChar w:fldCharType="begin">
                <w:ffData>
                  <w:name w:val="Text10"/>
                  <w:enabled/>
                  <w:calcOnExit w:val="0"/>
                  <w:textInput/>
                </w:ffData>
              </w:fldChar>
            </w:r>
            <w:bookmarkStart w:id="3" w:name="Text10"/>
            <w:r>
              <w:rPr>
                <w:rFonts w:cs="Times New Roman"/>
                <w:szCs w:val="24"/>
              </w:rPr>
              <w:instrText xml:space="preserve"> FORMTEXT </w:instrText>
            </w:r>
            <w:r>
              <w:rPr>
                <w:rFonts w:cs="Times New Roman"/>
                <w:szCs w:val="24"/>
              </w:rPr>
            </w:r>
            <w:r>
              <w:rPr>
                <w:rFonts w:cs="Times New Roman"/>
                <w:szCs w:val="24"/>
              </w:rPr>
              <w:fldChar w:fldCharType="separate"/>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szCs w:val="24"/>
              </w:rPr>
              <w:fldChar w:fldCharType="end"/>
            </w:r>
            <w:bookmarkEnd w:id="3"/>
          </w:p>
        </w:tc>
      </w:tr>
      <w:tr w:rsidR="0079474A" w:rsidTr="0079474A">
        <w:tc>
          <w:tcPr>
            <w:tcW w:w="9350" w:type="dxa"/>
            <w:gridSpan w:val="2"/>
          </w:tcPr>
          <w:p w:rsidR="0079474A" w:rsidRDefault="0079474A" w:rsidP="0079474A">
            <w:pPr>
              <w:rPr>
                <w:rFonts w:cs="Times New Roman"/>
                <w:szCs w:val="24"/>
              </w:rPr>
            </w:pPr>
            <w:r>
              <w:rPr>
                <w:rFonts w:cs="Times New Roman"/>
                <w:szCs w:val="24"/>
              </w:rPr>
              <w:t xml:space="preserve">Person Interviewed: </w:t>
            </w:r>
            <w:r>
              <w:rPr>
                <w:rFonts w:cs="Times New Roman"/>
                <w:szCs w:val="24"/>
              </w:rPr>
              <w:fldChar w:fldCharType="begin">
                <w:ffData>
                  <w:name w:val="Text11"/>
                  <w:enabled/>
                  <w:calcOnExit w:val="0"/>
                  <w:textInput/>
                </w:ffData>
              </w:fldChar>
            </w:r>
            <w:bookmarkStart w:id="4" w:name="Text11"/>
            <w:r>
              <w:rPr>
                <w:rFonts w:cs="Times New Roman"/>
                <w:szCs w:val="24"/>
              </w:rPr>
              <w:instrText xml:space="preserve"> FORMTEXT </w:instrText>
            </w:r>
            <w:r>
              <w:rPr>
                <w:rFonts w:cs="Times New Roman"/>
                <w:szCs w:val="24"/>
              </w:rPr>
            </w:r>
            <w:r>
              <w:rPr>
                <w:rFonts w:cs="Times New Roman"/>
                <w:szCs w:val="24"/>
              </w:rPr>
              <w:fldChar w:fldCharType="separate"/>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szCs w:val="24"/>
              </w:rPr>
              <w:fldChar w:fldCharType="end"/>
            </w:r>
            <w:bookmarkEnd w:id="4"/>
          </w:p>
        </w:tc>
      </w:tr>
    </w:tbl>
    <w:p w:rsidR="00AF2E5D" w:rsidRDefault="00AF2E5D" w:rsidP="005C6417">
      <w:pPr>
        <w:spacing w:line="240" w:lineRule="auto"/>
        <w:contextualSpacing/>
        <w:jc w:val="center"/>
        <w:rPr>
          <w:rFonts w:cs="Times New Roman"/>
          <w:b/>
          <w:szCs w:val="24"/>
        </w:rPr>
      </w:pPr>
    </w:p>
    <w:tbl>
      <w:tblPr>
        <w:tblStyle w:val="TableGrid"/>
        <w:tblW w:w="0" w:type="auto"/>
        <w:tblLook w:val="04A0" w:firstRow="1" w:lastRow="0" w:firstColumn="1" w:lastColumn="0" w:noHBand="0" w:noVBand="1"/>
      </w:tblPr>
      <w:tblGrid>
        <w:gridCol w:w="2337"/>
        <w:gridCol w:w="2337"/>
        <w:gridCol w:w="2338"/>
        <w:gridCol w:w="2338"/>
      </w:tblGrid>
      <w:tr w:rsidR="0079474A" w:rsidTr="00F942D2">
        <w:tc>
          <w:tcPr>
            <w:tcW w:w="9350" w:type="dxa"/>
            <w:gridSpan w:val="4"/>
            <w:shd w:val="clear" w:color="auto" w:fill="D0CECE" w:themeFill="background2" w:themeFillShade="E6"/>
          </w:tcPr>
          <w:p w:rsidR="0079474A" w:rsidRDefault="0079474A" w:rsidP="0079474A">
            <w:pPr>
              <w:contextualSpacing/>
              <w:rPr>
                <w:rFonts w:cs="Times New Roman"/>
                <w:b/>
                <w:szCs w:val="24"/>
              </w:rPr>
            </w:pPr>
            <w:r>
              <w:rPr>
                <w:rFonts w:cs="Times New Roman"/>
                <w:b/>
                <w:szCs w:val="24"/>
              </w:rPr>
              <w:t>LABORATORY INFORMATION</w:t>
            </w:r>
          </w:p>
        </w:tc>
      </w:tr>
      <w:tr w:rsidR="0079474A" w:rsidRPr="0079474A" w:rsidTr="0079474A">
        <w:tc>
          <w:tcPr>
            <w:tcW w:w="2337" w:type="dxa"/>
          </w:tcPr>
          <w:p w:rsidR="0079474A" w:rsidRPr="0079474A" w:rsidRDefault="0079474A" w:rsidP="0079474A">
            <w:pPr>
              <w:contextualSpacing/>
              <w:rPr>
                <w:rFonts w:cs="Times New Roman"/>
                <w:szCs w:val="24"/>
              </w:rPr>
            </w:pPr>
            <w:r w:rsidRPr="0079474A">
              <w:rPr>
                <w:rFonts w:cs="Times New Roman"/>
                <w:szCs w:val="24"/>
              </w:rPr>
              <w:t>Biosafety Level:</w:t>
            </w:r>
          </w:p>
        </w:tc>
        <w:tc>
          <w:tcPr>
            <w:tcW w:w="2337" w:type="dxa"/>
          </w:tcPr>
          <w:p w:rsidR="0079474A" w:rsidRPr="0079474A" w:rsidRDefault="0079474A" w:rsidP="0079474A">
            <w:pPr>
              <w:contextualSpacing/>
              <w:jc w:val="center"/>
              <w:rPr>
                <w:rFonts w:cs="Times New Roman"/>
                <w:szCs w:val="24"/>
              </w:rPr>
            </w:pPr>
            <w:r w:rsidRPr="0079474A">
              <w:rPr>
                <w:rFonts w:cs="Times New Roman"/>
                <w:szCs w:val="24"/>
              </w:rPr>
              <w:fldChar w:fldCharType="begin">
                <w:ffData>
                  <w:name w:val="Check2"/>
                  <w:enabled/>
                  <w:calcOnExit w:val="0"/>
                  <w:checkBox>
                    <w:sizeAuto/>
                    <w:default w:val="0"/>
                  </w:checkBox>
                </w:ffData>
              </w:fldChar>
            </w:r>
            <w:bookmarkStart w:id="5" w:name="Check2"/>
            <w:r w:rsidRPr="0079474A">
              <w:rPr>
                <w:rFonts w:cs="Times New Roman"/>
                <w:szCs w:val="24"/>
              </w:rPr>
              <w:instrText xml:space="preserve"> FORMCHECKBOX </w:instrText>
            </w:r>
            <w:r w:rsidR="005C1888">
              <w:rPr>
                <w:rFonts w:cs="Times New Roman"/>
                <w:szCs w:val="24"/>
              </w:rPr>
            </w:r>
            <w:r w:rsidR="005C1888">
              <w:rPr>
                <w:rFonts w:cs="Times New Roman"/>
                <w:szCs w:val="24"/>
              </w:rPr>
              <w:fldChar w:fldCharType="separate"/>
            </w:r>
            <w:r w:rsidRPr="0079474A">
              <w:rPr>
                <w:rFonts w:cs="Times New Roman"/>
                <w:szCs w:val="24"/>
              </w:rPr>
              <w:fldChar w:fldCharType="end"/>
            </w:r>
            <w:bookmarkEnd w:id="5"/>
            <w:r w:rsidRPr="0079474A">
              <w:rPr>
                <w:rFonts w:cs="Times New Roman"/>
                <w:szCs w:val="24"/>
              </w:rPr>
              <w:t xml:space="preserve"> BSL-1</w:t>
            </w:r>
          </w:p>
        </w:tc>
        <w:tc>
          <w:tcPr>
            <w:tcW w:w="2338" w:type="dxa"/>
          </w:tcPr>
          <w:p w:rsidR="0079474A" w:rsidRPr="0079474A" w:rsidRDefault="0079474A" w:rsidP="0079474A">
            <w:pPr>
              <w:contextualSpacing/>
              <w:jc w:val="center"/>
              <w:rPr>
                <w:rFonts w:cs="Times New Roman"/>
                <w:szCs w:val="24"/>
              </w:rPr>
            </w:pPr>
            <w:r w:rsidRPr="0079474A">
              <w:rPr>
                <w:rFonts w:cs="Times New Roman"/>
                <w:szCs w:val="24"/>
              </w:rPr>
              <w:fldChar w:fldCharType="begin">
                <w:ffData>
                  <w:name w:val="Check3"/>
                  <w:enabled/>
                  <w:calcOnExit w:val="0"/>
                  <w:checkBox>
                    <w:sizeAuto/>
                    <w:default w:val="0"/>
                  </w:checkBox>
                </w:ffData>
              </w:fldChar>
            </w:r>
            <w:bookmarkStart w:id="6" w:name="Check3"/>
            <w:r w:rsidRPr="0079474A">
              <w:rPr>
                <w:rFonts w:cs="Times New Roman"/>
                <w:szCs w:val="24"/>
              </w:rPr>
              <w:instrText xml:space="preserve"> FORMCHECKBOX </w:instrText>
            </w:r>
            <w:r w:rsidR="005C1888">
              <w:rPr>
                <w:rFonts w:cs="Times New Roman"/>
                <w:szCs w:val="24"/>
              </w:rPr>
            </w:r>
            <w:r w:rsidR="005C1888">
              <w:rPr>
                <w:rFonts w:cs="Times New Roman"/>
                <w:szCs w:val="24"/>
              </w:rPr>
              <w:fldChar w:fldCharType="separate"/>
            </w:r>
            <w:r w:rsidRPr="0079474A">
              <w:rPr>
                <w:rFonts w:cs="Times New Roman"/>
                <w:szCs w:val="24"/>
              </w:rPr>
              <w:fldChar w:fldCharType="end"/>
            </w:r>
            <w:bookmarkEnd w:id="6"/>
            <w:r w:rsidRPr="0079474A">
              <w:rPr>
                <w:rFonts w:cs="Times New Roman"/>
                <w:szCs w:val="24"/>
              </w:rPr>
              <w:t xml:space="preserve"> BSL-2</w:t>
            </w:r>
          </w:p>
        </w:tc>
        <w:tc>
          <w:tcPr>
            <w:tcW w:w="2338" w:type="dxa"/>
          </w:tcPr>
          <w:p w:rsidR="0079474A" w:rsidRPr="0079474A" w:rsidRDefault="0079474A" w:rsidP="0079474A">
            <w:pPr>
              <w:contextualSpacing/>
              <w:jc w:val="center"/>
              <w:rPr>
                <w:rFonts w:cs="Times New Roman"/>
                <w:szCs w:val="24"/>
              </w:rPr>
            </w:pPr>
            <w:r w:rsidRPr="0079474A">
              <w:rPr>
                <w:rFonts w:cs="Times New Roman"/>
                <w:szCs w:val="24"/>
              </w:rPr>
              <w:fldChar w:fldCharType="begin">
                <w:ffData>
                  <w:name w:val="Check4"/>
                  <w:enabled/>
                  <w:calcOnExit w:val="0"/>
                  <w:checkBox>
                    <w:sizeAuto/>
                    <w:default w:val="0"/>
                  </w:checkBox>
                </w:ffData>
              </w:fldChar>
            </w:r>
            <w:bookmarkStart w:id="7" w:name="Check4"/>
            <w:r w:rsidRPr="0079474A">
              <w:rPr>
                <w:rFonts w:cs="Times New Roman"/>
                <w:szCs w:val="24"/>
              </w:rPr>
              <w:instrText xml:space="preserve"> FORMCHECKBOX </w:instrText>
            </w:r>
            <w:r w:rsidR="005C1888">
              <w:rPr>
                <w:rFonts w:cs="Times New Roman"/>
                <w:szCs w:val="24"/>
              </w:rPr>
            </w:r>
            <w:r w:rsidR="005C1888">
              <w:rPr>
                <w:rFonts w:cs="Times New Roman"/>
                <w:szCs w:val="24"/>
              </w:rPr>
              <w:fldChar w:fldCharType="separate"/>
            </w:r>
            <w:r w:rsidRPr="0079474A">
              <w:rPr>
                <w:rFonts w:cs="Times New Roman"/>
                <w:szCs w:val="24"/>
              </w:rPr>
              <w:fldChar w:fldCharType="end"/>
            </w:r>
            <w:bookmarkEnd w:id="7"/>
            <w:r w:rsidRPr="0079474A">
              <w:rPr>
                <w:rFonts w:cs="Times New Roman"/>
                <w:szCs w:val="24"/>
              </w:rPr>
              <w:t xml:space="preserve"> BSL-3</w:t>
            </w:r>
          </w:p>
        </w:tc>
      </w:tr>
      <w:tr w:rsidR="00F942D2" w:rsidTr="00F942D2">
        <w:trPr>
          <w:trHeight w:val="1440"/>
        </w:trPr>
        <w:tc>
          <w:tcPr>
            <w:tcW w:w="9350" w:type="dxa"/>
            <w:gridSpan w:val="4"/>
          </w:tcPr>
          <w:p w:rsidR="00F942D2" w:rsidRPr="00F942D2" w:rsidRDefault="00F942D2" w:rsidP="0079474A">
            <w:pPr>
              <w:contextualSpacing/>
              <w:rPr>
                <w:rFonts w:cs="Times New Roman"/>
                <w:szCs w:val="24"/>
              </w:rPr>
            </w:pPr>
            <w:r w:rsidRPr="00F942D2">
              <w:rPr>
                <w:rFonts w:cs="Times New Roman"/>
                <w:szCs w:val="24"/>
              </w:rPr>
              <w:lastRenderedPageBreak/>
              <w:t>Biological materials manipulated in the laboratory</w:t>
            </w:r>
            <w:r>
              <w:rPr>
                <w:rFonts w:cs="Times New Roman"/>
                <w:b/>
                <w:szCs w:val="24"/>
              </w:rPr>
              <w:t xml:space="preserve"> </w:t>
            </w:r>
            <w:r>
              <w:rPr>
                <w:rFonts w:cs="Times New Roman"/>
                <w:i/>
                <w:szCs w:val="24"/>
              </w:rPr>
              <w:t>(</w:t>
            </w:r>
            <w:r w:rsidR="00612191">
              <w:rPr>
                <w:rFonts w:cs="Times New Roman"/>
                <w:i/>
                <w:szCs w:val="24"/>
              </w:rPr>
              <w:t xml:space="preserve">list all </w:t>
            </w:r>
            <w:r>
              <w:rPr>
                <w:rFonts w:cs="Times New Roman"/>
                <w:i/>
                <w:szCs w:val="24"/>
              </w:rPr>
              <w:t>organism</w:t>
            </w:r>
            <w:r w:rsidR="00612191">
              <w:rPr>
                <w:rFonts w:cs="Times New Roman"/>
                <w:i/>
                <w:szCs w:val="24"/>
              </w:rPr>
              <w:t>s</w:t>
            </w:r>
            <w:r>
              <w:rPr>
                <w:rFonts w:cs="Times New Roman"/>
                <w:i/>
                <w:szCs w:val="24"/>
              </w:rPr>
              <w:t>/material</w:t>
            </w:r>
            <w:r w:rsidR="00612191">
              <w:rPr>
                <w:rFonts w:cs="Times New Roman"/>
                <w:i/>
                <w:szCs w:val="24"/>
              </w:rPr>
              <w:t>s</w:t>
            </w:r>
            <w:r>
              <w:rPr>
                <w:rFonts w:cs="Times New Roman"/>
                <w:i/>
                <w:szCs w:val="24"/>
              </w:rPr>
              <w:t>)</w:t>
            </w:r>
            <w:r>
              <w:rPr>
                <w:rFonts w:cs="Times New Roman"/>
                <w:szCs w:val="24"/>
              </w:rPr>
              <w:t xml:space="preserve">: </w:t>
            </w:r>
            <w:r>
              <w:rPr>
                <w:rFonts w:cs="Times New Roman"/>
                <w:szCs w:val="24"/>
              </w:rPr>
              <w:fldChar w:fldCharType="begin">
                <w:ffData>
                  <w:name w:val="Text12"/>
                  <w:enabled/>
                  <w:calcOnExit w:val="0"/>
                  <w:textInput/>
                </w:ffData>
              </w:fldChar>
            </w:r>
            <w:bookmarkStart w:id="8" w:name="Text12"/>
            <w:r>
              <w:rPr>
                <w:rFonts w:cs="Times New Roman"/>
                <w:szCs w:val="24"/>
              </w:rPr>
              <w:instrText xml:space="preserve"> FORMTEXT </w:instrText>
            </w:r>
            <w:r>
              <w:rPr>
                <w:rFonts w:cs="Times New Roman"/>
                <w:szCs w:val="24"/>
              </w:rPr>
            </w:r>
            <w:r>
              <w:rPr>
                <w:rFonts w:cs="Times New Roman"/>
                <w:szCs w:val="24"/>
              </w:rPr>
              <w:fldChar w:fldCharType="separate"/>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szCs w:val="24"/>
              </w:rPr>
              <w:fldChar w:fldCharType="end"/>
            </w:r>
            <w:bookmarkEnd w:id="8"/>
          </w:p>
        </w:tc>
      </w:tr>
    </w:tbl>
    <w:p w:rsidR="0079474A" w:rsidRDefault="0079474A" w:rsidP="0079474A">
      <w:pPr>
        <w:spacing w:line="240" w:lineRule="auto"/>
        <w:contextualSpacing/>
        <w:rPr>
          <w:rFonts w:cs="Times New Roman"/>
          <w:b/>
          <w:szCs w:val="24"/>
        </w:rPr>
      </w:pPr>
    </w:p>
    <w:tbl>
      <w:tblPr>
        <w:tblStyle w:val="TableGrid"/>
        <w:tblW w:w="5000" w:type="pct"/>
        <w:tblLook w:val="04A0" w:firstRow="1" w:lastRow="0" w:firstColumn="1" w:lastColumn="0" w:noHBand="0" w:noVBand="1"/>
      </w:tblPr>
      <w:tblGrid>
        <w:gridCol w:w="7098"/>
        <w:gridCol w:w="750"/>
        <w:gridCol w:w="752"/>
        <w:gridCol w:w="750"/>
      </w:tblGrid>
      <w:tr w:rsidR="000043F1" w:rsidRPr="005C6417" w:rsidTr="000043F1">
        <w:tc>
          <w:tcPr>
            <w:tcW w:w="3796" w:type="pct"/>
            <w:shd w:val="clear" w:color="auto" w:fill="D0CECE" w:themeFill="background2" w:themeFillShade="E6"/>
          </w:tcPr>
          <w:p w:rsidR="000043F1" w:rsidRPr="005C6417" w:rsidRDefault="00612191" w:rsidP="005C6417">
            <w:pPr>
              <w:contextualSpacing/>
              <w:rPr>
                <w:rFonts w:cs="Times New Roman"/>
                <w:b/>
                <w:szCs w:val="24"/>
              </w:rPr>
            </w:pPr>
            <w:r>
              <w:rPr>
                <w:rFonts w:cs="Times New Roman"/>
                <w:b/>
                <w:szCs w:val="24"/>
              </w:rPr>
              <w:t xml:space="preserve">A. </w:t>
            </w:r>
            <w:r w:rsidR="000043F1">
              <w:rPr>
                <w:rFonts w:cs="Times New Roman"/>
                <w:b/>
                <w:szCs w:val="24"/>
              </w:rPr>
              <w:t>STANDARD MICROBIOLOGICAL PROCEDURES</w:t>
            </w:r>
          </w:p>
        </w:tc>
        <w:tc>
          <w:tcPr>
            <w:tcW w:w="401" w:type="pct"/>
            <w:shd w:val="clear" w:color="auto" w:fill="D0CECE" w:themeFill="background2" w:themeFillShade="E6"/>
            <w:vAlign w:val="center"/>
          </w:tcPr>
          <w:p w:rsidR="000043F1" w:rsidRPr="005C6417" w:rsidRDefault="000043F1" w:rsidP="002562BA">
            <w:pPr>
              <w:contextualSpacing/>
              <w:jc w:val="center"/>
              <w:rPr>
                <w:rFonts w:cs="Times New Roman"/>
                <w:b/>
                <w:szCs w:val="24"/>
              </w:rPr>
            </w:pPr>
            <w:r>
              <w:rPr>
                <w:rFonts w:cs="Times New Roman"/>
                <w:b/>
                <w:szCs w:val="24"/>
              </w:rPr>
              <w:t>YES</w:t>
            </w:r>
          </w:p>
        </w:tc>
        <w:tc>
          <w:tcPr>
            <w:tcW w:w="402" w:type="pct"/>
            <w:shd w:val="clear" w:color="auto" w:fill="D0CECE" w:themeFill="background2" w:themeFillShade="E6"/>
            <w:vAlign w:val="center"/>
          </w:tcPr>
          <w:p w:rsidR="000043F1" w:rsidRPr="005C6417" w:rsidRDefault="000043F1" w:rsidP="002562BA">
            <w:pPr>
              <w:contextualSpacing/>
              <w:jc w:val="center"/>
              <w:rPr>
                <w:rFonts w:cs="Times New Roman"/>
                <w:b/>
                <w:szCs w:val="24"/>
              </w:rPr>
            </w:pPr>
            <w:r>
              <w:rPr>
                <w:rFonts w:cs="Times New Roman"/>
                <w:b/>
                <w:szCs w:val="24"/>
              </w:rPr>
              <w:t>NO</w:t>
            </w:r>
          </w:p>
        </w:tc>
        <w:tc>
          <w:tcPr>
            <w:tcW w:w="401" w:type="pct"/>
            <w:shd w:val="clear" w:color="auto" w:fill="D0CECE" w:themeFill="background2" w:themeFillShade="E6"/>
            <w:vAlign w:val="center"/>
          </w:tcPr>
          <w:p w:rsidR="000043F1" w:rsidRPr="005C6417" w:rsidRDefault="000043F1" w:rsidP="002562BA">
            <w:pPr>
              <w:contextualSpacing/>
              <w:jc w:val="center"/>
              <w:rPr>
                <w:rFonts w:cs="Times New Roman"/>
                <w:b/>
                <w:szCs w:val="24"/>
              </w:rPr>
            </w:pPr>
            <w:r w:rsidRPr="005C6417">
              <w:rPr>
                <w:rFonts w:cs="Times New Roman"/>
                <w:b/>
                <w:szCs w:val="24"/>
              </w:rPr>
              <w:t>N/A</w:t>
            </w:r>
          </w:p>
        </w:tc>
      </w:tr>
      <w:tr w:rsidR="000043F1" w:rsidRPr="006E60F2" w:rsidTr="000043F1">
        <w:trPr>
          <w:trHeight w:val="116"/>
        </w:trPr>
        <w:tc>
          <w:tcPr>
            <w:tcW w:w="3796" w:type="pct"/>
          </w:tcPr>
          <w:p w:rsidR="000043F1" w:rsidRPr="006E60F2" w:rsidRDefault="000043F1" w:rsidP="005C1888">
            <w:pPr>
              <w:autoSpaceDE w:val="0"/>
              <w:autoSpaceDN w:val="0"/>
              <w:adjustRightInd w:val="0"/>
              <w:contextualSpacing/>
              <w:textAlignment w:val="center"/>
              <w:rPr>
                <w:rFonts w:cs="Times New Roman"/>
                <w:color w:val="000000"/>
                <w:szCs w:val="24"/>
              </w:rPr>
            </w:pPr>
            <w:r>
              <w:rPr>
                <w:rFonts w:cs="Times New Roman"/>
                <w:color w:val="000000"/>
                <w:szCs w:val="24"/>
              </w:rPr>
              <w:t xml:space="preserve">1. </w:t>
            </w:r>
            <w:r w:rsidR="005C1888">
              <w:rPr>
                <w:rFonts w:cs="Times New Roman"/>
                <w:color w:val="000000"/>
                <w:szCs w:val="24"/>
              </w:rPr>
              <w:t>Access to the laboratory is limited or restricted at the discretion of the PI or laboratory supervisor when experiments are in progress.</w:t>
            </w:r>
          </w:p>
        </w:tc>
        <w:tc>
          <w:tcPr>
            <w:tcW w:w="401" w:type="pct"/>
            <w:vAlign w:val="center"/>
          </w:tcPr>
          <w:p w:rsidR="000043F1" w:rsidRDefault="000043F1" w:rsidP="002562BA">
            <w:pPr>
              <w:jc w:val="center"/>
            </w:pPr>
            <w:r w:rsidRPr="001B6B45">
              <w:rPr>
                <w:rFonts w:cs="Times New Roman"/>
              </w:rPr>
              <w:fldChar w:fldCharType="begin">
                <w:ffData>
                  <w:name w:val="Check1"/>
                  <w:enabled/>
                  <w:calcOnExit w:val="0"/>
                  <w:checkBox>
                    <w:sizeAuto/>
                    <w:default w:val="0"/>
                  </w:checkBox>
                </w:ffData>
              </w:fldChar>
            </w:r>
            <w:bookmarkStart w:id="9" w:name="Check1"/>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bookmarkEnd w:id="9"/>
          </w:p>
        </w:tc>
        <w:tc>
          <w:tcPr>
            <w:tcW w:w="402" w:type="pct"/>
            <w:vAlign w:val="center"/>
          </w:tcPr>
          <w:p w:rsidR="000043F1" w:rsidRDefault="000043F1" w:rsidP="002562BA">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1" w:type="pct"/>
            <w:vAlign w:val="center"/>
          </w:tcPr>
          <w:p w:rsidR="000043F1" w:rsidRDefault="000043F1" w:rsidP="002562BA">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r>
      <w:tr w:rsidR="000043F1" w:rsidRPr="006E60F2" w:rsidTr="000043F1">
        <w:trPr>
          <w:trHeight w:val="60"/>
        </w:trPr>
        <w:tc>
          <w:tcPr>
            <w:tcW w:w="3796" w:type="pct"/>
          </w:tcPr>
          <w:p w:rsidR="000043F1" w:rsidRPr="006E60F2" w:rsidRDefault="000043F1" w:rsidP="005C1888">
            <w:pPr>
              <w:autoSpaceDE w:val="0"/>
              <w:autoSpaceDN w:val="0"/>
              <w:adjustRightInd w:val="0"/>
              <w:contextualSpacing/>
              <w:textAlignment w:val="center"/>
              <w:rPr>
                <w:rFonts w:cs="Times New Roman"/>
                <w:color w:val="000000"/>
                <w:szCs w:val="24"/>
              </w:rPr>
            </w:pPr>
            <w:r>
              <w:rPr>
                <w:rFonts w:cs="Times New Roman"/>
                <w:color w:val="000000"/>
                <w:szCs w:val="24"/>
              </w:rPr>
              <w:t xml:space="preserve">2. </w:t>
            </w:r>
            <w:r w:rsidR="005C1888">
              <w:rPr>
                <w:rFonts w:cs="Times New Roman"/>
                <w:color w:val="000000"/>
                <w:szCs w:val="24"/>
              </w:rPr>
              <w:t>Personnel wash their hands after they handle viable materials and animals, after removing gloves, and before leaving the laboratory.</w:t>
            </w:r>
          </w:p>
        </w:tc>
        <w:tc>
          <w:tcPr>
            <w:tcW w:w="401" w:type="pct"/>
            <w:vAlign w:val="center"/>
          </w:tcPr>
          <w:p w:rsidR="000043F1" w:rsidRDefault="000043F1" w:rsidP="002562BA">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2" w:type="pct"/>
            <w:vAlign w:val="center"/>
          </w:tcPr>
          <w:p w:rsidR="000043F1" w:rsidRDefault="000043F1" w:rsidP="002562BA">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1" w:type="pct"/>
            <w:vAlign w:val="center"/>
          </w:tcPr>
          <w:p w:rsidR="000043F1" w:rsidRDefault="000043F1" w:rsidP="002562BA">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r>
      <w:tr w:rsidR="000043F1" w:rsidRPr="006E60F2" w:rsidTr="000043F1">
        <w:trPr>
          <w:trHeight w:val="60"/>
        </w:trPr>
        <w:tc>
          <w:tcPr>
            <w:tcW w:w="3796" w:type="pct"/>
          </w:tcPr>
          <w:p w:rsidR="000043F1" w:rsidRPr="006E60F2" w:rsidRDefault="000043F1" w:rsidP="00993037">
            <w:pPr>
              <w:autoSpaceDE w:val="0"/>
              <w:autoSpaceDN w:val="0"/>
              <w:adjustRightInd w:val="0"/>
              <w:contextualSpacing/>
              <w:textAlignment w:val="center"/>
              <w:rPr>
                <w:rFonts w:cs="Times New Roman"/>
                <w:color w:val="000000"/>
                <w:szCs w:val="24"/>
              </w:rPr>
            </w:pPr>
            <w:r>
              <w:rPr>
                <w:rFonts w:cs="Times New Roman"/>
                <w:color w:val="000000"/>
                <w:szCs w:val="24"/>
              </w:rPr>
              <w:t xml:space="preserve">3. Eating, drinking, smoking, handling contact </w:t>
            </w:r>
            <w:r w:rsidR="005C1888">
              <w:rPr>
                <w:rFonts w:cs="Times New Roman"/>
                <w:color w:val="000000"/>
                <w:szCs w:val="24"/>
              </w:rPr>
              <w:t>lenses and applying cosmetics are not permitted in the laboratory. Persons who wear contact lenses in laboratories should also wear safety glasses, goggles, or face shield. Food is stored outside the laboratory in cabinets or refrigerators designated for this purpose only.</w:t>
            </w:r>
          </w:p>
        </w:tc>
        <w:tc>
          <w:tcPr>
            <w:tcW w:w="401" w:type="pct"/>
            <w:vAlign w:val="center"/>
          </w:tcPr>
          <w:p w:rsidR="000043F1" w:rsidRDefault="000043F1" w:rsidP="002562BA">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2" w:type="pct"/>
            <w:vAlign w:val="center"/>
          </w:tcPr>
          <w:p w:rsidR="000043F1" w:rsidRDefault="000043F1" w:rsidP="002562BA">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1" w:type="pct"/>
            <w:vAlign w:val="center"/>
          </w:tcPr>
          <w:p w:rsidR="000043F1" w:rsidRDefault="000043F1" w:rsidP="002562BA">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r>
      <w:tr w:rsidR="000043F1" w:rsidRPr="006E60F2" w:rsidTr="000043F1">
        <w:trPr>
          <w:trHeight w:val="60"/>
        </w:trPr>
        <w:tc>
          <w:tcPr>
            <w:tcW w:w="3796" w:type="pct"/>
          </w:tcPr>
          <w:p w:rsidR="000043F1" w:rsidRPr="006E60F2" w:rsidRDefault="000043F1" w:rsidP="00993037">
            <w:r>
              <w:t xml:space="preserve">4. Mouth pipetting is prohibited; mechanical pipetting devices must be used. </w:t>
            </w:r>
          </w:p>
        </w:tc>
        <w:tc>
          <w:tcPr>
            <w:tcW w:w="401" w:type="pct"/>
            <w:vAlign w:val="center"/>
          </w:tcPr>
          <w:p w:rsidR="000043F1" w:rsidRDefault="000043F1" w:rsidP="002562BA">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2" w:type="pct"/>
            <w:vAlign w:val="center"/>
          </w:tcPr>
          <w:p w:rsidR="000043F1" w:rsidRDefault="000043F1" w:rsidP="002562BA">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1" w:type="pct"/>
            <w:vAlign w:val="center"/>
          </w:tcPr>
          <w:p w:rsidR="000043F1" w:rsidRDefault="000043F1" w:rsidP="002562BA">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r>
      <w:tr w:rsidR="005C1888" w:rsidRPr="006E60F2" w:rsidTr="000043F1">
        <w:trPr>
          <w:trHeight w:val="60"/>
        </w:trPr>
        <w:tc>
          <w:tcPr>
            <w:tcW w:w="3796" w:type="pct"/>
          </w:tcPr>
          <w:p w:rsidR="005C1888" w:rsidRDefault="005C1888" w:rsidP="005C1888">
            <w:r>
              <w:t>5. All procedures are performed carefully to minimize the creation of splashes or aerosols.</w:t>
            </w:r>
          </w:p>
        </w:tc>
        <w:tc>
          <w:tcPr>
            <w:tcW w:w="401" w:type="pct"/>
            <w:vAlign w:val="center"/>
          </w:tcPr>
          <w:p w:rsidR="005C1888" w:rsidRDefault="005C1888"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2" w:type="pct"/>
            <w:vAlign w:val="center"/>
          </w:tcPr>
          <w:p w:rsidR="005C1888" w:rsidRDefault="005C1888"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1" w:type="pct"/>
            <w:vAlign w:val="center"/>
          </w:tcPr>
          <w:p w:rsidR="005C1888" w:rsidRDefault="005C1888"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r>
      <w:tr w:rsidR="00875557" w:rsidRPr="006E60F2" w:rsidTr="000043F1">
        <w:trPr>
          <w:trHeight w:val="60"/>
        </w:trPr>
        <w:tc>
          <w:tcPr>
            <w:tcW w:w="3796" w:type="pct"/>
          </w:tcPr>
          <w:p w:rsidR="00875557" w:rsidRDefault="00875557" w:rsidP="00875557">
            <w:r>
              <w:t>6. Work surfaces are decontaminated at least once a day and after any spill of viable material with a disinfectant effective against the agents of concern.</w:t>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2"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r>
      <w:tr w:rsidR="00875557" w:rsidRPr="006E60F2" w:rsidTr="000043F1">
        <w:trPr>
          <w:trHeight w:val="60"/>
        </w:trPr>
        <w:tc>
          <w:tcPr>
            <w:tcW w:w="3796" w:type="pct"/>
          </w:tcPr>
          <w:p w:rsidR="00875557" w:rsidRDefault="00875557" w:rsidP="00875557">
            <w:r>
              <w:t>7. Cultures, stocks, contaminated plasticware, and other non-sharp wastes are autoclaved prior to disposal.</w:t>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2"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r>
      <w:tr w:rsidR="00875557" w:rsidRPr="006E60F2" w:rsidTr="000043F1">
        <w:trPr>
          <w:trHeight w:val="60"/>
        </w:trPr>
        <w:tc>
          <w:tcPr>
            <w:tcW w:w="3796" w:type="pct"/>
          </w:tcPr>
          <w:p w:rsidR="00875557" w:rsidRPr="006E60F2" w:rsidRDefault="00875557" w:rsidP="00875557">
            <w:r>
              <w:t>8. Policies for the safe handling of sharps, such as needles, scalpels, pipettes, and broken glassware must be developed and implemented. Whenever practical, laboratory supervisors should adopt improved engineering and work practice controls that reduce risk of sharps injuries. Precautions, including those listed below, must always be taken with sharp items. These include:</w:t>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2"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r>
      <w:tr w:rsidR="00875557" w:rsidRPr="006E60F2" w:rsidTr="000043F1">
        <w:trPr>
          <w:trHeight w:val="143"/>
        </w:trPr>
        <w:tc>
          <w:tcPr>
            <w:tcW w:w="3796" w:type="pct"/>
          </w:tcPr>
          <w:p w:rsidR="00875557" w:rsidRPr="006E60F2" w:rsidRDefault="00875557" w:rsidP="00875557">
            <w:pPr>
              <w:pStyle w:val="ListParagraph"/>
              <w:numPr>
                <w:ilvl w:val="0"/>
                <w:numId w:val="3"/>
              </w:numPr>
            </w:pPr>
            <w:r>
              <w:t>Careful management of needles and other sharps are of primary importance. Needles must not be bent, sheared, broken, recapped, removed from disposals syringes, or otherwise manipulated by hand before disposal.</w:t>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2"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r>
      <w:tr w:rsidR="00875557" w:rsidRPr="006E60F2" w:rsidTr="000043F1">
        <w:trPr>
          <w:trHeight w:val="215"/>
        </w:trPr>
        <w:tc>
          <w:tcPr>
            <w:tcW w:w="3796" w:type="pct"/>
          </w:tcPr>
          <w:p w:rsidR="00875557" w:rsidRPr="006E60F2" w:rsidRDefault="00875557" w:rsidP="00875557">
            <w:pPr>
              <w:pStyle w:val="ListParagraph"/>
              <w:numPr>
                <w:ilvl w:val="0"/>
                <w:numId w:val="3"/>
              </w:numPr>
            </w:pPr>
            <w:r>
              <w:t>Used disposable needles and syringes must be carefully placed in conveniently located puncture-resistant containers used for sharps disposal.</w:t>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2"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r>
      <w:tr w:rsidR="00875557" w:rsidRPr="006E60F2" w:rsidTr="000043F1">
        <w:trPr>
          <w:trHeight w:val="60"/>
        </w:trPr>
        <w:tc>
          <w:tcPr>
            <w:tcW w:w="3796" w:type="pct"/>
          </w:tcPr>
          <w:p w:rsidR="00875557" w:rsidRPr="006E60F2" w:rsidRDefault="00875557" w:rsidP="00875557">
            <w:pPr>
              <w:pStyle w:val="ListParagraph"/>
              <w:numPr>
                <w:ilvl w:val="0"/>
                <w:numId w:val="3"/>
              </w:numPr>
            </w:pPr>
            <w:r>
              <w:t>Non-disposable sharps must be placed in a hard walled container for transport to a processing area for decontamination, preferably by autoclaving.</w:t>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2"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r>
      <w:tr w:rsidR="00875557" w:rsidRPr="006E60F2" w:rsidTr="000043F1">
        <w:trPr>
          <w:trHeight w:val="269"/>
        </w:trPr>
        <w:tc>
          <w:tcPr>
            <w:tcW w:w="3796" w:type="pct"/>
          </w:tcPr>
          <w:p w:rsidR="00875557" w:rsidRPr="006E60F2" w:rsidRDefault="00875557" w:rsidP="00875557">
            <w:pPr>
              <w:pStyle w:val="ListParagraph"/>
              <w:numPr>
                <w:ilvl w:val="0"/>
                <w:numId w:val="3"/>
              </w:numPr>
            </w:pPr>
            <w:r>
              <w:t>Broken glassware must not be handled directly. Instead, it must be removed using a brush and dustpan, tongs, or forceps. Plastic-ware should be substituted for glassware whenever possible.</w:t>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2"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r>
      <w:tr w:rsidR="00875557" w:rsidRPr="006E60F2" w:rsidTr="000043F1">
        <w:trPr>
          <w:trHeight w:val="60"/>
        </w:trPr>
        <w:tc>
          <w:tcPr>
            <w:tcW w:w="3796" w:type="pct"/>
          </w:tcPr>
          <w:p w:rsidR="00875557" w:rsidRPr="006E60F2" w:rsidRDefault="00875557" w:rsidP="00875557">
            <w:r>
              <w:t>9. Culture fluids and other contaminated liquid wastes are autoclaved or decontaminated with a suitable disinfectant before disposal down the sanitary drain.</w:t>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2"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r>
      <w:tr w:rsidR="00875557" w:rsidRPr="006E60F2" w:rsidTr="000043F1">
        <w:trPr>
          <w:trHeight w:val="242"/>
        </w:trPr>
        <w:tc>
          <w:tcPr>
            <w:tcW w:w="3796" w:type="pct"/>
          </w:tcPr>
          <w:p w:rsidR="00875557" w:rsidRPr="006E60F2" w:rsidRDefault="00875557" w:rsidP="00875557">
            <w:r>
              <w:t>10. Materials to be decontaminated outside of the immediate laboratory are placed in a durable, leak-proof container and closed for transport from the laboratory.</w:t>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2"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r>
      <w:tr w:rsidR="00875557" w:rsidRPr="006E60F2" w:rsidTr="000043F1">
        <w:trPr>
          <w:trHeight w:val="242"/>
        </w:trPr>
        <w:tc>
          <w:tcPr>
            <w:tcW w:w="3796" w:type="pct"/>
          </w:tcPr>
          <w:p w:rsidR="00875557" w:rsidRDefault="00875557" w:rsidP="00875557">
            <w:r>
              <w:t>11. An insect and rodent control program is in effect.</w:t>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2"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c>
          <w:tcPr>
            <w:tcW w:w="401" w:type="pct"/>
            <w:vAlign w:val="center"/>
          </w:tcPr>
          <w:p w:rsidR="00875557" w:rsidRDefault="00875557" w:rsidP="00875557">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Pr>
                <w:rFonts w:cs="Times New Roman"/>
              </w:rPr>
            </w:r>
            <w:r>
              <w:rPr>
                <w:rFonts w:cs="Times New Roman"/>
              </w:rPr>
              <w:fldChar w:fldCharType="separate"/>
            </w:r>
            <w:r w:rsidRPr="001B6B45">
              <w:rPr>
                <w:rFonts w:cs="Times New Roman"/>
              </w:rPr>
              <w:fldChar w:fldCharType="end"/>
            </w:r>
          </w:p>
        </w:tc>
      </w:tr>
    </w:tbl>
    <w:p w:rsidR="00222772" w:rsidRPr="005C6417" w:rsidRDefault="00222772" w:rsidP="00612191">
      <w:pPr>
        <w:spacing w:line="240" w:lineRule="auto"/>
        <w:contextualSpacing/>
        <w:rPr>
          <w:rFonts w:cs="Times New Roman"/>
          <w:b/>
          <w:szCs w:val="24"/>
        </w:rPr>
      </w:pPr>
    </w:p>
    <w:tbl>
      <w:tblPr>
        <w:tblStyle w:val="TableGrid"/>
        <w:tblW w:w="5000" w:type="pct"/>
        <w:tblLook w:val="04A0" w:firstRow="1" w:lastRow="0" w:firstColumn="1" w:lastColumn="0" w:noHBand="0" w:noVBand="1"/>
      </w:tblPr>
      <w:tblGrid>
        <w:gridCol w:w="7100"/>
        <w:gridCol w:w="748"/>
        <w:gridCol w:w="752"/>
        <w:gridCol w:w="750"/>
      </w:tblGrid>
      <w:tr w:rsidR="00612191" w:rsidRPr="005C6417" w:rsidTr="00612191">
        <w:tc>
          <w:tcPr>
            <w:tcW w:w="3797" w:type="pct"/>
            <w:shd w:val="clear" w:color="auto" w:fill="D0CECE" w:themeFill="background2" w:themeFillShade="E6"/>
          </w:tcPr>
          <w:p w:rsidR="00612191" w:rsidRPr="005C6417" w:rsidRDefault="007F3C7E" w:rsidP="00612191">
            <w:pPr>
              <w:contextualSpacing/>
              <w:rPr>
                <w:rFonts w:cs="Times New Roman"/>
                <w:b/>
                <w:szCs w:val="24"/>
              </w:rPr>
            </w:pPr>
            <w:r>
              <w:rPr>
                <w:rFonts w:cs="Times New Roman"/>
                <w:b/>
                <w:szCs w:val="24"/>
              </w:rPr>
              <w:t>B. SPECIAL PRACTICES</w:t>
            </w:r>
          </w:p>
        </w:tc>
        <w:tc>
          <w:tcPr>
            <w:tcW w:w="400" w:type="pct"/>
            <w:shd w:val="clear" w:color="auto" w:fill="D0CECE" w:themeFill="background2" w:themeFillShade="E6"/>
            <w:vAlign w:val="center"/>
          </w:tcPr>
          <w:p w:rsidR="00612191" w:rsidRPr="005C6417" w:rsidRDefault="00612191" w:rsidP="002562BA">
            <w:pPr>
              <w:contextualSpacing/>
              <w:jc w:val="center"/>
              <w:rPr>
                <w:rFonts w:cs="Times New Roman"/>
                <w:b/>
                <w:szCs w:val="24"/>
              </w:rPr>
            </w:pPr>
            <w:r>
              <w:rPr>
                <w:rFonts w:cs="Times New Roman"/>
                <w:b/>
                <w:szCs w:val="24"/>
              </w:rPr>
              <w:t>YES</w:t>
            </w:r>
          </w:p>
        </w:tc>
        <w:tc>
          <w:tcPr>
            <w:tcW w:w="402" w:type="pct"/>
            <w:shd w:val="clear" w:color="auto" w:fill="D0CECE" w:themeFill="background2" w:themeFillShade="E6"/>
            <w:vAlign w:val="center"/>
          </w:tcPr>
          <w:p w:rsidR="00612191" w:rsidRPr="005C6417" w:rsidRDefault="00612191" w:rsidP="002562BA">
            <w:pPr>
              <w:contextualSpacing/>
              <w:jc w:val="center"/>
              <w:rPr>
                <w:rFonts w:cs="Times New Roman"/>
                <w:b/>
                <w:szCs w:val="24"/>
              </w:rPr>
            </w:pPr>
            <w:r>
              <w:rPr>
                <w:rFonts w:cs="Times New Roman"/>
                <w:b/>
                <w:szCs w:val="24"/>
              </w:rPr>
              <w:t>NO</w:t>
            </w:r>
          </w:p>
        </w:tc>
        <w:tc>
          <w:tcPr>
            <w:tcW w:w="401" w:type="pct"/>
            <w:shd w:val="clear" w:color="auto" w:fill="D0CECE" w:themeFill="background2" w:themeFillShade="E6"/>
            <w:vAlign w:val="center"/>
          </w:tcPr>
          <w:p w:rsidR="00612191" w:rsidRPr="005C6417" w:rsidRDefault="00612191" w:rsidP="002562BA">
            <w:pPr>
              <w:contextualSpacing/>
              <w:jc w:val="center"/>
              <w:rPr>
                <w:rFonts w:cs="Times New Roman"/>
                <w:b/>
                <w:szCs w:val="24"/>
              </w:rPr>
            </w:pPr>
            <w:r w:rsidRPr="005C6417">
              <w:rPr>
                <w:rFonts w:cs="Times New Roman"/>
                <w:b/>
                <w:szCs w:val="24"/>
              </w:rPr>
              <w:t>N/A</w:t>
            </w:r>
          </w:p>
        </w:tc>
      </w:tr>
      <w:tr w:rsidR="00612191" w:rsidRPr="006E60F2" w:rsidTr="00612191">
        <w:trPr>
          <w:trHeight w:val="341"/>
        </w:trPr>
        <w:tc>
          <w:tcPr>
            <w:tcW w:w="3797" w:type="pct"/>
          </w:tcPr>
          <w:p w:rsidR="00612191" w:rsidRPr="006E60F2" w:rsidRDefault="00612191" w:rsidP="00875557">
            <w:pPr>
              <w:autoSpaceDE w:val="0"/>
              <w:autoSpaceDN w:val="0"/>
              <w:adjustRightInd w:val="0"/>
              <w:contextualSpacing/>
              <w:textAlignment w:val="center"/>
              <w:rPr>
                <w:rFonts w:cs="Times New Roman"/>
                <w:color w:val="000000"/>
                <w:szCs w:val="24"/>
              </w:rPr>
            </w:pPr>
            <w:r>
              <w:rPr>
                <w:rFonts w:cs="Times New Roman"/>
                <w:color w:val="000000"/>
                <w:szCs w:val="24"/>
              </w:rPr>
              <w:t xml:space="preserve">1. </w:t>
            </w:r>
            <w:r w:rsidR="00875557">
              <w:rPr>
                <w:rFonts w:cs="Times New Roman"/>
                <w:color w:val="000000"/>
                <w:szCs w:val="24"/>
              </w:rPr>
              <w:t>Hypodermic syringes and needles, when not in use, are secured (i.e., locking cabinet, drawer) against unauthorized access. A log of stock materials and their distribution is maintained.</w:t>
            </w:r>
          </w:p>
        </w:tc>
        <w:tc>
          <w:tcPr>
            <w:tcW w:w="400" w:type="pct"/>
            <w:vAlign w:val="center"/>
          </w:tcPr>
          <w:p w:rsidR="00612191" w:rsidRDefault="00612191" w:rsidP="002562BA">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2" w:type="pct"/>
            <w:vAlign w:val="center"/>
          </w:tcPr>
          <w:p w:rsidR="00612191" w:rsidRDefault="00612191" w:rsidP="002562BA">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1" w:type="pct"/>
            <w:vAlign w:val="center"/>
          </w:tcPr>
          <w:p w:rsidR="00612191" w:rsidRDefault="00612191" w:rsidP="002562BA">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r>
    </w:tbl>
    <w:p w:rsidR="009C2DE5" w:rsidRDefault="009C2DE5" w:rsidP="00222772">
      <w:pPr>
        <w:spacing w:line="240" w:lineRule="auto"/>
        <w:contextualSpacing/>
        <w:rPr>
          <w:rFonts w:cs="Times New Roman"/>
          <w:b/>
          <w:szCs w:val="24"/>
        </w:rPr>
      </w:pPr>
    </w:p>
    <w:tbl>
      <w:tblPr>
        <w:tblStyle w:val="TableGrid"/>
        <w:tblW w:w="5000" w:type="pct"/>
        <w:tblLook w:val="04A0" w:firstRow="1" w:lastRow="0" w:firstColumn="1" w:lastColumn="0" w:noHBand="0" w:noVBand="1"/>
      </w:tblPr>
      <w:tblGrid>
        <w:gridCol w:w="7100"/>
        <w:gridCol w:w="748"/>
        <w:gridCol w:w="752"/>
        <w:gridCol w:w="750"/>
      </w:tblGrid>
      <w:tr w:rsidR="007F3C7E" w:rsidRPr="005C6417" w:rsidTr="005C1888">
        <w:tc>
          <w:tcPr>
            <w:tcW w:w="3797" w:type="pct"/>
            <w:shd w:val="clear" w:color="auto" w:fill="D0CECE" w:themeFill="background2" w:themeFillShade="E6"/>
          </w:tcPr>
          <w:p w:rsidR="007F3C7E" w:rsidRPr="005C6417" w:rsidRDefault="001169F3" w:rsidP="005C1888">
            <w:pPr>
              <w:contextualSpacing/>
              <w:rPr>
                <w:rFonts w:cs="Times New Roman"/>
                <w:b/>
                <w:szCs w:val="24"/>
              </w:rPr>
            </w:pPr>
            <w:r>
              <w:rPr>
                <w:rFonts w:cs="Times New Roman"/>
                <w:b/>
                <w:szCs w:val="24"/>
              </w:rPr>
              <w:t>C</w:t>
            </w:r>
            <w:r w:rsidR="007F3C7E">
              <w:rPr>
                <w:rFonts w:cs="Times New Roman"/>
                <w:b/>
                <w:szCs w:val="24"/>
              </w:rPr>
              <w:t>. SAFETY EQUIPMENT (PRIMARY BARRIERS)</w:t>
            </w:r>
          </w:p>
        </w:tc>
        <w:tc>
          <w:tcPr>
            <w:tcW w:w="400" w:type="pct"/>
            <w:shd w:val="clear" w:color="auto" w:fill="D0CECE" w:themeFill="background2" w:themeFillShade="E6"/>
            <w:vAlign w:val="center"/>
          </w:tcPr>
          <w:p w:rsidR="007F3C7E" w:rsidRPr="005C6417" w:rsidRDefault="007F3C7E" w:rsidP="005C1888">
            <w:pPr>
              <w:contextualSpacing/>
              <w:jc w:val="center"/>
              <w:rPr>
                <w:rFonts w:cs="Times New Roman"/>
                <w:b/>
                <w:szCs w:val="24"/>
              </w:rPr>
            </w:pPr>
            <w:r>
              <w:rPr>
                <w:rFonts w:cs="Times New Roman"/>
                <w:b/>
                <w:szCs w:val="24"/>
              </w:rPr>
              <w:t>YES</w:t>
            </w:r>
          </w:p>
        </w:tc>
        <w:tc>
          <w:tcPr>
            <w:tcW w:w="402" w:type="pct"/>
            <w:shd w:val="clear" w:color="auto" w:fill="D0CECE" w:themeFill="background2" w:themeFillShade="E6"/>
            <w:vAlign w:val="center"/>
          </w:tcPr>
          <w:p w:rsidR="007F3C7E" w:rsidRPr="005C6417" w:rsidRDefault="007F3C7E" w:rsidP="005C1888">
            <w:pPr>
              <w:contextualSpacing/>
              <w:jc w:val="center"/>
              <w:rPr>
                <w:rFonts w:cs="Times New Roman"/>
                <w:b/>
                <w:szCs w:val="24"/>
              </w:rPr>
            </w:pPr>
            <w:r>
              <w:rPr>
                <w:rFonts w:cs="Times New Roman"/>
                <w:b/>
                <w:szCs w:val="24"/>
              </w:rPr>
              <w:t>NO</w:t>
            </w:r>
          </w:p>
        </w:tc>
        <w:tc>
          <w:tcPr>
            <w:tcW w:w="401" w:type="pct"/>
            <w:shd w:val="clear" w:color="auto" w:fill="D0CECE" w:themeFill="background2" w:themeFillShade="E6"/>
            <w:vAlign w:val="center"/>
          </w:tcPr>
          <w:p w:rsidR="007F3C7E" w:rsidRPr="005C6417" w:rsidRDefault="007F3C7E" w:rsidP="005C1888">
            <w:pPr>
              <w:contextualSpacing/>
              <w:jc w:val="center"/>
              <w:rPr>
                <w:rFonts w:cs="Times New Roman"/>
                <w:b/>
                <w:szCs w:val="24"/>
              </w:rPr>
            </w:pPr>
            <w:r w:rsidRPr="005C6417">
              <w:rPr>
                <w:rFonts w:cs="Times New Roman"/>
                <w:b/>
                <w:szCs w:val="24"/>
              </w:rPr>
              <w:t>N/A</w:t>
            </w:r>
          </w:p>
        </w:tc>
      </w:tr>
      <w:tr w:rsidR="007F3C7E" w:rsidRPr="006E60F2" w:rsidTr="005C1888">
        <w:trPr>
          <w:trHeight w:val="341"/>
        </w:trPr>
        <w:tc>
          <w:tcPr>
            <w:tcW w:w="3797" w:type="pct"/>
          </w:tcPr>
          <w:p w:rsidR="007F3C7E" w:rsidRPr="006E60F2" w:rsidRDefault="007F3C7E" w:rsidP="00875557">
            <w:pPr>
              <w:autoSpaceDE w:val="0"/>
              <w:autoSpaceDN w:val="0"/>
              <w:adjustRightInd w:val="0"/>
              <w:contextualSpacing/>
              <w:textAlignment w:val="center"/>
              <w:rPr>
                <w:rFonts w:cs="Times New Roman"/>
                <w:color w:val="000000"/>
                <w:szCs w:val="24"/>
              </w:rPr>
            </w:pPr>
            <w:r>
              <w:rPr>
                <w:rFonts w:cs="Times New Roman"/>
                <w:color w:val="000000"/>
                <w:szCs w:val="24"/>
              </w:rPr>
              <w:t xml:space="preserve">1. </w:t>
            </w:r>
            <w:r w:rsidR="00875557">
              <w:rPr>
                <w:rFonts w:cs="Times New Roman"/>
                <w:color w:val="000000"/>
                <w:szCs w:val="24"/>
              </w:rPr>
              <w:t>Special containment devices or equipment such as a biological safety cabinet is not generally required for manipulations of agents assigned to Biosafety Level 1.</w:t>
            </w:r>
          </w:p>
        </w:tc>
        <w:tc>
          <w:tcPr>
            <w:tcW w:w="400" w:type="pct"/>
            <w:vAlign w:val="center"/>
          </w:tcPr>
          <w:p w:rsidR="007F3C7E" w:rsidRDefault="007F3C7E"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2" w:type="pct"/>
            <w:vAlign w:val="center"/>
          </w:tcPr>
          <w:p w:rsidR="007F3C7E" w:rsidRDefault="007F3C7E"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1" w:type="pct"/>
            <w:vAlign w:val="center"/>
          </w:tcPr>
          <w:p w:rsidR="007F3C7E" w:rsidRDefault="007F3C7E"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r>
      <w:tr w:rsidR="007F3C7E" w:rsidRPr="006E60F2" w:rsidTr="007F3C7E">
        <w:trPr>
          <w:trHeight w:val="20"/>
        </w:trPr>
        <w:tc>
          <w:tcPr>
            <w:tcW w:w="3797" w:type="pct"/>
          </w:tcPr>
          <w:p w:rsidR="007F3C7E" w:rsidRPr="007F3C7E" w:rsidRDefault="007F3C7E" w:rsidP="00875557">
            <w:pPr>
              <w:autoSpaceDE w:val="0"/>
              <w:autoSpaceDN w:val="0"/>
              <w:adjustRightInd w:val="0"/>
              <w:textAlignment w:val="center"/>
              <w:rPr>
                <w:rFonts w:cs="Times New Roman"/>
                <w:color w:val="000000"/>
                <w:szCs w:val="24"/>
              </w:rPr>
            </w:pPr>
            <w:r>
              <w:rPr>
                <w:rFonts w:cs="Times New Roman"/>
                <w:color w:val="000000"/>
                <w:szCs w:val="24"/>
              </w:rPr>
              <w:t xml:space="preserve">2. </w:t>
            </w:r>
            <w:r w:rsidR="00875557">
              <w:rPr>
                <w:rFonts w:cs="Times New Roman"/>
                <w:color w:val="000000"/>
                <w:szCs w:val="24"/>
              </w:rPr>
              <w:t>If used, biological safety cabinets are certified annually, when cabinets are moved, or when HEPA filters are changed.</w:t>
            </w:r>
          </w:p>
        </w:tc>
        <w:tc>
          <w:tcPr>
            <w:tcW w:w="400" w:type="pct"/>
            <w:vAlign w:val="center"/>
          </w:tcPr>
          <w:p w:rsidR="007F3C7E" w:rsidRDefault="007F3C7E"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2" w:type="pct"/>
            <w:vAlign w:val="center"/>
          </w:tcPr>
          <w:p w:rsidR="007F3C7E" w:rsidRDefault="007F3C7E"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1" w:type="pct"/>
            <w:vAlign w:val="center"/>
          </w:tcPr>
          <w:p w:rsidR="007F3C7E" w:rsidRDefault="007F3C7E"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r>
      <w:tr w:rsidR="007F3C7E" w:rsidRPr="006E60F2" w:rsidTr="005C1888">
        <w:trPr>
          <w:trHeight w:val="367"/>
        </w:trPr>
        <w:tc>
          <w:tcPr>
            <w:tcW w:w="3797" w:type="pct"/>
          </w:tcPr>
          <w:p w:rsidR="007F3C7E" w:rsidRPr="006E60F2" w:rsidRDefault="007F3C7E" w:rsidP="00875557">
            <w:pPr>
              <w:autoSpaceDE w:val="0"/>
              <w:autoSpaceDN w:val="0"/>
              <w:adjustRightInd w:val="0"/>
              <w:contextualSpacing/>
              <w:textAlignment w:val="center"/>
              <w:rPr>
                <w:rFonts w:cs="Times New Roman"/>
                <w:color w:val="000000"/>
                <w:szCs w:val="24"/>
              </w:rPr>
            </w:pPr>
            <w:r>
              <w:rPr>
                <w:rFonts w:cs="Times New Roman"/>
                <w:color w:val="000000"/>
                <w:szCs w:val="24"/>
              </w:rPr>
              <w:t xml:space="preserve">3. </w:t>
            </w:r>
            <w:r w:rsidR="00875557">
              <w:rPr>
                <w:rFonts w:cs="Times New Roman"/>
                <w:color w:val="000000"/>
                <w:szCs w:val="24"/>
              </w:rPr>
              <w:t>Protective eyewear should be worn for conduct of procedures in which splashes of microorganisms or other hazardous materials is anticipated.</w:t>
            </w:r>
          </w:p>
        </w:tc>
        <w:tc>
          <w:tcPr>
            <w:tcW w:w="400" w:type="pct"/>
            <w:vAlign w:val="center"/>
          </w:tcPr>
          <w:p w:rsidR="007F3C7E" w:rsidRDefault="007F3C7E"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2" w:type="pct"/>
            <w:vAlign w:val="center"/>
          </w:tcPr>
          <w:p w:rsidR="007F3C7E" w:rsidRDefault="007F3C7E"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1" w:type="pct"/>
            <w:vAlign w:val="center"/>
          </w:tcPr>
          <w:p w:rsidR="007F3C7E" w:rsidRDefault="007F3C7E"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r>
      <w:tr w:rsidR="007F3C7E" w:rsidRPr="006E60F2" w:rsidTr="007F3C7E">
        <w:trPr>
          <w:trHeight w:val="144"/>
        </w:trPr>
        <w:tc>
          <w:tcPr>
            <w:tcW w:w="3797" w:type="pct"/>
          </w:tcPr>
          <w:p w:rsidR="007F3C7E" w:rsidRPr="006E60F2" w:rsidRDefault="00875557" w:rsidP="005C1888">
            <w:pPr>
              <w:autoSpaceDE w:val="0"/>
              <w:autoSpaceDN w:val="0"/>
              <w:adjustRightInd w:val="0"/>
              <w:contextualSpacing/>
              <w:textAlignment w:val="center"/>
              <w:rPr>
                <w:rFonts w:cs="Times New Roman"/>
                <w:color w:val="000000"/>
                <w:szCs w:val="24"/>
              </w:rPr>
            </w:pPr>
            <w:r>
              <w:rPr>
                <w:rFonts w:cs="Times New Roman"/>
                <w:color w:val="000000"/>
                <w:szCs w:val="24"/>
              </w:rPr>
              <w:t>4. Laboratory coats, gowns, or uniforms are worn to prevent contamination or soiling of street clothes. This protective clothing is removed and left in the laboratory before leaving for or travel through non-laboratory areas (e.g., cafeteria, library, administrative offices, public corridors). All protective clothing is disposed of in the laboratory, laundered by the institution, or autoclaved and laundered at home by personnel.</w:t>
            </w:r>
          </w:p>
        </w:tc>
        <w:tc>
          <w:tcPr>
            <w:tcW w:w="400" w:type="pct"/>
            <w:vAlign w:val="center"/>
          </w:tcPr>
          <w:p w:rsidR="007F3C7E" w:rsidRDefault="007F3C7E" w:rsidP="005C1888">
            <w:pPr>
              <w:jc w:val="center"/>
            </w:pPr>
            <w:r w:rsidRPr="001B6B45">
              <w:rPr>
                <w:rFonts w:cs="Times New Roman"/>
              </w:rPr>
              <w:lastRenderedPageBreak/>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2" w:type="pct"/>
            <w:vAlign w:val="center"/>
          </w:tcPr>
          <w:p w:rsidR="007F3C7E" w:rsidRDefault="007F3C7E"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1" w:type="pct"/>
            <w:vAlign w:val="center"/>
          </w:tcPr>
          <w:p w:rsidR="007F3C7E" w:rsidRDefault="007F3C7E"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r>
      <w:tr w:rsidR="007F3C7E" w:rsidRPr="006E60F2" w:rsidTr="001169F3">
        <w:trPr>
          <w:trHeight w:val="20"/>
        </w:trPr>
        <w:tc>
          <w:tcPr>
            <w:tcW w:w="3797" w:type="pct"/>
          </w:tcPr>
          <w:p w:rsidR="007F3C7E" w:rsidRPr="006E60F2" w:rsidRDefault="00875557" w:rsidP="00875557">
            <w:pPr>
              <w:autoSpaceDE w:val="0"/>
              <w:autoSpaceDN w:val="0"/>
              <w:adjustRightInd w:val="0"/>
              <w:contextualSpacing/>
              <w:textAlignment w:val="center"/>
              <w:rPr>
                <w:rFonts w:cs="Times New Roman"/>
                <w:color w:val="000000"/>
                <w:szCs w:val="24"/>
              </w:rPr>
            </w:pPr>
            <w:r>
              <w:rPr>
                <w:rFonts w:cs="Times New Roman"/>
                <w:color w:val="000000"/>
                <w:szCs w:val="24"/>
              </w:rPr>
              <w:t>5. Gloves must be worn to protect hands from exposure to hazardous materials. Glove selection should be based on an appropriate risk assessment. Gloves are disposed of when contaminated, removed when work is completed, and are not worn outside the laboratory. Disposable gloves are not washed or reused. Hands are washed after glove use.</w:t>
            </w:r>
          </w:p>
        </w:tc>
        <w:tc>
          <w:tcPr>
            <w:tcW w:w="400" w:type="pct"/>
            <w:vAlign w:val="center"/>
          </w:tcPr>
          <w:p w:rsidR="007F3C7E" w:rsidRDefault="007F3C7E"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2" w:type="pct"/>
            <w:vAlign w:val="center"/>
          </w:tcPr>
          <w:p w:rsidR="007F3C7E" w:rsidRDefault="007F3C7E"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1" w:type="pct"/>
            <w:vAlign w:val="center"/>
          </w:tcPr>
          <w:p w:rsidR="007F3C7E" w:rsidRDefault="007F3C7E"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r>
    </w:tbl>
    <w:p w:rsidR="006C661C" w:rsidRDefault="006C661C" w:rsidP="00222772">
      <w:pPr>
        <w:spacing w:line="240" w:lineRule="auto"/>
        <w:contextualSpacing/>
        <w:rPr>
          <w:rFonts w:cs="Times New Roman"/>
          <w:b/>
          <w:szCs w:val="24"/>
        </w:rPr>
      </w:pPr>
    </w:p>
    <w:tbl>
      <w:tblPr>
        <w:tblStyle w:val="TableGrid"/>
        <w:tblW w:w="5000" w:type="pct"/>
        <w:tblLook w:val="04A0" w:firstRow="1" w:lastRow="0" w:firstColumn="1" w:lastColumn="0" w:noHBand="0" w:noVBand="1"/>
      </w:tblPr>
      <w:tblGrid>
        <w:gridCol w:w="7100"/>
        <w:gridCol w:w="748"/>
        <w:gridCol w:w="752"/>
        <w:gridCol w:w="750"/>
      </w:tblGrid>
      <w:tr w:rsidR="001169F3" w:rsidRPr="005C6417" w:rsidTr="005C1888">
        <w:tc>
          <w:tcPr>
            <w:tcW w:w="3797" w:type="pct"/>
            <w:shd w:val="clear" w:color="auto" w:fill="D0CECE" w:themeFill="background2" w:themeFillShade="E6"/>
          </w:tcPr>
          <w:p w:rsidR="001169F3" w:rsidRPr="005C6417" w:rsidRDefault="001169F3" w:rsidP="001169F3">
            <w:pPr>
              <w:contextualSpacing/>
              <w:rPr>
                <w:rFonts w:cs="Times New Roman"/>
                <w:b/>
                <w:szCs w:val="24"/>
              </w:rPr>
            </w:pPr>
            <w:r>
              <w:rPr>
                <w:rFonts w:cs="Times New Roman"/>
                <w:b/>
                <w:szCs w:val="24"/>
              </w:rPr>
              <w:t>D. LABORATORY FACILITIES (SECONDARY BARRIERS)</w:t>
            </w:r>
          </w:p>
        </w:tc>
        <w:tc>
          <w:tcPr>
            <w:tcW w:w="400" w:type="pct"/>
            <w:shd w:val="clear" w:color="auto" w:fill="D0CECE" w:themeFill="background2" w:themeFillShade="E6"/>
            <w:vAlign w:val="center"/>
          </w:tcPr>
          <w:p w:rsidR="001169F3" w:rsidRPr="005C6417" w:rsidRDefault="001169F3" w:rsidP="005C1888">
            <w:pPr>
              <w:contextualSpacing/>
              <w:jc w:val="center"/>
              <w:rPr>
                <w:rFonts w:cs="Times New Roman"/>
                <w:b/>
                <w:szCs w:val="24"/>
              </w:rPr>
            </w:pPr>
            <w:r>
              <w:rPr>
                <w:rFonts w:cs="Times New Roman"/>
                <w:b/>
                <w:szCs w:val="24"/>
              </w:rPr>
              <w:t>YES</w:t>
            </w:r>
          </w:p>
        </w:tc>
        <w:tc>
          <w:tcPr>
            <w:tcW w:w="402" w:type="pct"/>
            <w:shd w:val="clear" w:color="auto" w:fill="D0CECE" w:themeFill="background2" w:themeFillShade="E6"/>
            <w:vAlign w:val="center"/>
          </w:tcPr>
          <w:p w:rsidR="001169F3" w:rsidRPr="005C6417" w:rsidRDefault="001169F3" w:rsidP="005C1888">
            <w:pPr>
              <w:contextualSpacing/>
              <w:jc w:val="center"/>
              <w:rPr>
                <w:rFonts w:cs="Times New Roman"/>
                <w:b/>
                <w:szCs w:val="24"/>
              </w:rPr>
            </w:pPr>
            <w:r>
              <w:rPr>
                <w:rFonts w:cs="Times New Roman"/>
                <w:b/>
                <w:szCs w:val="24"/>
              </w:rPr>
              <w:t>NO</w:t>
            </w:r>
          </w:p>
        </w:tc>
        <w:tc>
          <w:tcPr>
            <w:tcW w:w="401" w:type="pct"/>
            <w:shd w:val="clear" w:color="auto" w:fill="D0CECE" w:themeFill="background2" w:themeFillShade="E6"/>
            <w:vAlign w:val="center"/>
          </w:tcPr>
          <w:p w:rsidR="001169F3" w:rsidRPr="005C6417" w:rsidRDefault="001169F3" w:rsidP="005C1888">
            <w:pPr>
              <w:contextualSpacing/>
              <w:jc w:val="center"/>
              <w:rPr>
                <w:rFonts w:cs="Times New Roman"/>
                <w:b/>
                <w:szCs w:val="24"/>
              </w:rPr>
            </w:pPr>
            <w:r w:rsidRPr="005C6417">
              <w:rPr>
                <w:rFonts w:cs="Times New Roman"/>
                <w:b/>
                <w:szCs w:val="24"/>
              </w:rPr>
              <w:t>N/A</w:t>
            </w:r>
          </w:p>
        </w:tc>
      </w:tr>
      <w:tr w:rsidR="001169F3" w:rsidRPr="006E60F2" w:rsidTr="00875557">
        <w:trPr>
          <w:trHeight w:val="20"/>
        </w:trPr>
        <w:tc>
          <w:tcPr>
            <w:tcW w:w="3797" w:type="pct"/>
          </w:tcPr>
          <w:p w:rsidR="001169F3" w:rsidRPr="006E60F2" w:rsidRDefault="001169F3" w:rsidP="00875557">
            <w:pPr>
              <w:autoSpaceDE w:val="0"/>
              <w:autoSpaceDN w:val="0"/>
              <w:adjustRightInd w:val="0"/>
              <w:contextualSpacing/>
              <w:textAlignment w:val="center"/>
              <w:rPr>
                <w:rFonts w:cs="Times New Roman"/>
                <w:color w:val="000000"/>
                <w:szCs w:val="24"/>
              </w:rPr>
            </w:pPr>
            <w:r>
              <w:rPr>
                <w:rFonts w:cs="Times New Roman"/>
                <w:color w:val="000000"/>
                <w:szCs w:val="24"/>
              </w:rPr>
              <w:t xml:space="preserve">1. </w:t>
            </w:r>
            <w:r w:rsidR="00875557">
              <w:rPr>
                <w:rFonts w:cs="Times New Roman"/>
                <w:color w:val="000000"/>
                <w:szCs w:val="24"/>
              </w:rPr>
              <w:t>Each laboratory contains a sink for handwashing.</w:t>
            </w:r>
          </w:p>
        </w:tc>
        <w:tc>
          <w:tcPr>
            <w:tcW w:w="400" w:type="pct"/>
            <w:vAlign w:val="center"/>
          </w:tcPr>
          <w:p w:rsidR="001169F3" w:rsidRDefault="001169F3"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2" w:type="pct"/>
            <w:vAlign w:val="center"/>
          </w:tcPr>
          <w:p w:rsidR="001169F3" w:rsidRDefault="001169F3"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1" w:type="pct"/>
            <w:vAlign w:val="center"/>
          </w:tcPr>
          <w:p w:rsidR="001169F3" w:rsidRDefault="001169F3"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r>
      <w:tr w:rsidR="001169F3" w:rsidRPr="006E60F2" w:rsidTr="005C1888">
        <w:trPr>
          <w:trHeight w:val="60"/>
        </w:trPr>
        <w:tc>
          <w:tcPr>
            <w:tcW w:w="3797" w:type="pct"/>
          </w:tcPr>
          <w:p w:rsidR="001169F3" w:rsidRPr="001169F3" w:rsidRDefault="001169F3" w:rsidP="00875557">
            <w:pPr>
              <w:autoSpaceDE w:val="0"/>
              <w:autoSpaceDN w:val="0"/>
              <w:adjustRightInd w:val="0"/>
              <w:textAlignment w:val="center"/>
              <w:rPr>
                <w:rFonts w:cs="Times New Roman"/>
                <w:color w:val="000000"/>
                <w:szCs w:val="24"/>
              </w:rPr>
            </w:pPr>
            <w:r>
              <w:rPr>
                <w:rFonts w:cs="Times New Roman"/>
                <w:color w:val="000000"/>
                <w:szCs w:val="24"/>
              </w:rPr>
              <w:t xml:space="preserve">2. </w:t>
            </w:r>
            <w:r w:rsidR="00875557">
              <w:rPr>
                <w:rFonts w:cs="Times New Roman"/>
                <w:color w:val="000000"/>
                <w:szCs w:val="24"/>
              </w:rPr>
              <w:t>The laboratory is designed so that it can be easily cleaned and decontaminated. Carpets, rugs, and cloth furniture are not appropriate.</w:t>
            </w:r>
          </w:p>
        </w:tc>
        <w:tc>
          <w:tcPr>
            <w:tcW w:w="400" w:type="pct"/>
            <w:vAlign w:val="center"/>
          </w:tcPr>
          <w:p w:rsidR="001169F3" w:rsidRDefault="001169F3"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2" w:type="pct"/>
            <w:vAlign w:val="center"/>
          </w:tcPr>
          <w:p w:rsidR="001169F3" w:rsidRDefault="001169F3"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1" w:type="pct"/>
            <w:vAlign w:val="center"/>
          </w:tcPr>
          <w:p w:rsidR="001169F3" w:rsidRDefault="001169F3"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r>
      <w:tr w:rsidR="001169F3" w:rsidRPr="006E60F2" w:rsidTr="005C1888">
        <w:trPr>
          <w:trHeight w:val="58"/>
        </w:trPr>
        <w:tc>
          <w:tcPr>
            <w:tcW w:w="3797" w:type="pct"/>
          </w:tcPr>
          <w:p w:rsidR="001169F3" w:rsidRPr="001169F3" w:rsidRDefault="001169F3" w:rsidP="000F737A">
            <w:pPr>
              <w:autoSpaceDE w:val="0"/>
              <w:autoSpaceDN w:val="0"/>
              <w:adjustRightInd w:val="0"/>
              <w:textAlignment w:val="center"/>
              <w:rPr>
                <w:rFonts w:cs="Times New Roman"/>
                <w:color w:val="000000"/>
                <w:szCs w:val="24"/>
              </w:rPr>
            </w:pPr>
            <w:r>
              <w:rPr>
                <w:rFonts w:cs="Times New Roman"/>
                <w:color w:val="000000"/>
                <w:szCs w:val="24"/>
              </w:rPr>
              <w:t xml:space="preserve">3. </w:t>
            </w:r>
            <w:r w:rsidR="000F737A">
              <w:rPr>
                <w:rFonts w:cs="Times New Roman"/>
                <w:color w:val="000000"/>
                <w:szCs w:val="24"/>
              </w:rPr>
              <w:t>Bench tops are impervious to water and resistant to moderate heat, acids, alkalis, organic solvents, and chemicals used to decontaminate the work surface.</w:t>
            </w:r>
          </w:p>
        </w:tc>
        <w:tc>
          <w:tcPr>
            <w:tcW w:w="400" w:type="pct"/>
            <w:vAlign w:val="center"/>
          </w:tcPr>
          <w:p w:rsidR="001169F3" w:rsidRDefault="001169F3"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2" w:type="pct"/>
            <w:vAlign w:val="center"/>
          </w:tcPr>
          <w:p w:rsidR="001169F3" w:rsidRDefault="001169F3"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1" w:type="pct"/>
            <w:vAlign w:val="center"/>
          </w:tcPr>
          <w:p w:rsidR="001169F3" w:rsidRDefault="001169F3"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r>
      <w:tr w:rsidR="001169F3" w:rsidRPr="006E60F2" w:rsidTr="005C1888">
        <w:trPr>
          <w:trHeight w:val="60"/>
        </w:trPr>
        <w:tc>
          <w:tcPr>
            <w:tcW w:w="3797" w:type="pct"/>
          </w:tcPr>
          <w:p w:rsidR="001169F3" w:rsidRPr="001169F3" w:rsidRDefault="000F737A" w:rsidP="001169F3">
            <w:pPr>
              <w:autoSpaceDE w:val="0"/>
              <w:autoSpaceDN w:val="0"/>
              <w:adjustRightInd w:val="0"/>
              <w:textAlignment w:val="center"/>
              <w:rPr>
                <w:rFonts w:cs="Times New Roman"/>
                <w:color w:val="000000"/>
                <w:szCs w:val="24"/>
              </w:rPr>
            </w:pPr>
            <w:r>
              <w:rPr>
                <w:rFonts w:cs="Times New Roman"/>
                <w:color w:val="000000"/>
                <w:szCs w:val="24"/>
              </w:rPr>
              <w:t>4. Laboratory furniture is sturdy and capable of supporting anticipated loads and uses. Spaces between benches, cabinets, and equipment are accessible for cleaning.</w:t>
            </w:r>
          </w:p>
        </w:tc>
        <w:tc>
          <w:tcPr>
            <w:tcW w:w="400" w:type="pct"/>
            <w:vAlign w:val="center"/>
          </w:tcPr>
          <w:p w:rsidR="001169F3" w:rsidRDefault="001169F3"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2" w:type="pct"/>
            <w:vAlign w:val="center"/>
          </w:tcPr>
          <w:p w:rsidR="001169F3" w:rsidRDefault="001169F3"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1" w:type="pct"/>
            <w:vAlign w:val="center"/>
          </w:tcPr>
          <w:p w:rsidR="001169F3" w:rsidRDefault="001169F3"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r>
      <w:tr w:rsidR="001169F3" w:rsidRPr="006E60F2" w:rsidTr="005C1888">
        <w:trPr>
          <w:trHeight w:val="20"/>
        </w:trPr>
        <w:tc>
          <w:tcPr>
            <w:tcW w:w="3797" w:type="pct"/>
          </w:tcPr>
          <w:p w:rsidR="001169F3" w:rsidRPr="007F3C7E" w:rsidRDefault="000F737A" w:rsidP="000F737A">
            <w:pPr>
              <w:autoSpaceDE w:val="0"/>
              <w:autoSpaceDN w:val="0"/>
              <w:adjustRightInd w:val="0"/>
              <w:textAlignment w:val="center"/>
              <w:rPr>
                <w:rFonts w:cs="Times New Roman"/>
                <w:color w:val="000000"/>
                <w:szCs w:val="24"/>
              </w:rPr>
            </w:pPr>
            <w:r>
              <w:rPr>
                <w:rFonts w:cs="Times New Roman"/>
                <w:color w:val="000000"/>
                <w:szCs w:val="24"/>
              </w:rPr>
              <w:t>5. If the laboratory has windows that open, they are fitted with fly screens.</w:t>
            </w:r>
          </w:p>
        </w:tc>
        <w:tc>
          <w:tcPr>
            <w:tcW w:w="400" w:type="pct"/>
            <w:vAlign w:val="center"/>
          </w:tcPr>
          <w:p w:rsidR="001169F3" w:rsidRDefault="001169F3"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2" w:type="pct"/>
            <w:vAlign w:val="center"/>
          </w:tcPr>
          <w:p w:rsidR="001169F3" w:rsidRDefault="001169F3"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1" w:type="pct"/>
            <w:vAlign w:val="center"/>
          </w:tcPr>
          <w:p w:rsidR="001169F3" w:rsidRDefault="001169F3"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r>
      <w:tr w:rsidR="001169F3" w:rsidRPr="006E60F2" w:rsidTr="005C1888">
        <w:trPr>
          <w:trHeight w:val="60"/>
        </w:trPr>
        <w:tc>
          <w:tcPr>
            <w:tcW w:w="3797" w:type="pct"/>
          </w:tcPr>
          <w:p w:rsidR="001169F3" w:rsidRPr="001169F3" w:rsidRDefault="000F737A" w:rsidP="000F737A">
            <w:pPr>
              <w:autoSpaceDE w:val="0"/>
              <w:autoSpaceDN w:val="0"/>
              <w:adjustRightInd w:val="0"/>
              <w:textAlignment w:val="center"/>
              <w:rPr>
                <w:rFonts w:cs="Times New Roman"/>
                <w:color w:val="000000"/>
                <w:szCs w:val="24"/>
              </w:rPr>
            </w:pPr>
            <w:r>
              <w:rPr>
                <w:rFonts w:cs="Times New Roman"/>
                <w:color w:val="000000"/>
                <w:szCs w:val="24"/>
              </w:rPr>
              <w:t>6. An autoclave for pre-treatment of laboratory wastes is available.</w:t>
            </w:r>
          </w:p>
        </w:tc>
        <w:tc>
          <w:tcPr>
            <w:tcW w:w="400" w:type="pct"/>
            <w:vAlign w:val="center"/>
          </w:tcPr>
          <w:p w:rsidR="001169F3" w:rsidRDefault="001169F3"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2" w:type="pct"/>
            <w:vAlign w:val="center"/>
          </w:tcPr>
          <w:p w:rsidR="001169F3" w:rsidRDefault="001169F3"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1" w:type="pct"/>
            <w:vAlign w:val="center"/>
          </w:tcPr>
          <w:p w:rsidR="001169F3" w:rsidRDefault="001169F3" w:rsidP="005C1888">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r>
      <w:tr w:rsidR="001169F3" w:rsidRPr="006E60F2" w:rsidTr="005C1888">
        <w:trPr>
          <w:trHeight w:val="20"/>
        </w:trPr>
        <w:tc>
          <w:tcPr>
            <w:tcW w:w="3797" w:type="pct"/>
          </w:tcPr>
          <w:p w:rsidR="001169F3" w:rsidRDefault="000F737A" w:rsidP="001169F3">
            <w:pPr>
              <w:autoSpaceDE w:val="0"/>
              <w:autoSpaceDN w:val="0"/>
              <w:adjustRightInd w:val="0"/>
              <w:contextualSpacing/>
              <w:textAlignment w:val="center"/>
              <w:rPr>
                <w:rFonts w:cs="Times New Roman"/>
                <w:color w:val="000000"/>
                <w:szCs w:val="24"/>
              </w:rPr>
            </w:pPr>
            <w:r>
              <w:rPr>
                <w:rFonts w:cs="Times New Roman"/>
                <w:color w:val="000000"/>
                <w:szCs w:val="24"/>
              </w:rPr>
              <w:t>7. An eyewash facility is readily available within the laboratory.</w:t>
            </w:r>
          </w:p>
        </w:tc>
        <w:bookmarkStart w:id="10" w:name="_GoBack"/>
        <w:tc>
          <w:tcPr>
            <w:tcW w:w="400" w:type="pct"/>
            <w:vAlign w:val="center"/>
          </w:tcPr>
          <w:p w:rsidR="001169F3" w:rsidRDefault="001169F3" w:rsidP="001169F3">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bookmarkEnd w:id="10"/>
          </w:p>
        </w:tc>
        <w:tc>
          <w:tcPr>
            <w:tcW w:w="402" w:type="pct"/>
            <w:vAlign w:val="center"/>
          </w:tcPr>
          <w:p w:rsidR="001169F3" w:rsidRDefault="001169F3" w:rsidP="001169F3">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c>
          <w:tcPr>
            <w:tcW w:w="401" w:type="pct"/>
            <w:vAlign w:val="center"/>
          </w:tcPr>
          <w:p w:rsidR="001169F3" w:rsidRDefault="001169F3" w:rsidP="001169F3">
            <w:pPr>
              <w:jc w:val="center"/>
            </w:pPr>
            <w:r w:rsidRPr="001B6B45">
              <w:rPr>
                <w:rFonts w:cs="Times New Roman"/>
              </w:rPr>
              <w:fldChar w:fldCharType="begin">
                <w:ffData>
                  <w:name w:val="Check1"/>
                  <w:enabled/>
                  <w:calcOnExit w:val="0"/>
                  <w:checkBox>
                    <w:sizeAuto/>
                    <w:default w:val="0"/>
                  </w:checkBox>
                </w:ffData>
              </w:fldChar>
            </w:r>
            <w:r w:rsidRPr="001B6B45">
              <w:rPr>
                <w:rFonts w:cs="Times New Roman"/>
              </w:rPr>
              <w:instrText xml:space="preserve"> FORMCHECKBOX </w:instrText>
            </w:r>
            <w:r w:rsidR="005C1888">
              <w:rPr>
                <w:rFonts w:cs="Times New Roman"/>
              </w:rPr>
            </w:r>
            <w:r w:rsidR="005C1888">
              <w:rPr>
                <w:rFonts w:cs="Times New Roman"/>
              </w:rPr>
              <w:fldChar w:fldCharType="separate"/>
            </w:r>
            <w:r w:rsidRPr="001B6B45">
              <w:rPr>
                <w:rFonts w:cs="Times New Roman"/>
              </w:rPr>
              <w:fldChar w:fldCharType="end"/>
            </w:r>
          </w:p>
        </w:tc>
      </w:tr>
    </w:tbl>
    <w:p w:rsidR="001169F3" w:rsidRDefault="001169F3" w:rsidP="001169F3">
      <w:pPr>
        <w:spacing w:line="240" w:lineRule="auto"/>
        <w:contextualSpacing/>
        <w:rPr>
          <w:rFonts w:cs="Times New Roman"/>
          <w:b/>
          <w:szCs w:val="24"/>
        </w:rPr>
      </w:pPr>
    </w:p>
    <w:sectPr w:rsidR="001169F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888" w:rsidRDefault="005C1888" w:rsidP="006714A4">
      <w:pPr>
        <w:spacing w:after="0" w:line="240" w:lineRule="auto"/>
      </w:pPr>
      <w:r>
        <w:separator/>
      </w:r>
    </w:p>
  </w:endnote>
  <w:endnote w:type="continuationSeparator" w:id="0">
    <w:p w:rsidR="005C1888" w:rsidRDefault="005C1888" w:rsidP="0067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508979"/>
      <w:docPartObj>
        <w:docPartGallery w:val="Page Numbers (Bottom of Page)"/>
        <w:docPartUnique/>
      </w:docPartObj>
    </w:sdtPr>
    <w:sdtEndPr>
      <w:rPr>
        <w:noProof/>
      </w:rPr>
    </w:sdtEndPr>
    <w:sdtContent>
      <w:p w:rsidR="005C1888" w:rsidRDefault="005C1888">
        <w:pPr>
          <w:pStyle w:val="Footer"/>
          <w:jc w:val="right"/>
        </w:pPr>
        <w:r>
          <w:fldChar w:fldCharType="begin"/>
        </w:r>
        <w:r>
          <w:instrText xml:space="preserve"> PAGE   \* MERGEFORMAT </w:instrText>
        </w:r>
        <w:r>
          <w:fldChar w:fldCharType="separate"/>
        </w:r>
        <w:r w:rsidR="000F737A">
          <w:rPr>
            <w:noProof/>
          </w:rPr>
          <w:t>3</w:t>
        </w:r>
        <w:r>
          <w:rPr>
            <w:noProof/>
          </w:rPr>
          <w:fldChar w:fldCharType="end"/>
        </w:r>
      </w:p>
    </w:sdtContent>
  </w:sdt>
  <w:p w:rsidR="005C1888" w:rsidRDefault="005C1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888" w:rsidRDefault="005C1888" w:rsidP="006714A4">
      <w:pPr>
        <w:spacing w:after="0" w:line="240" w:lineRule="auto"/>
      </w:pPr>
      <w:r>
        <w:separator/>
      </w:r>
    </w:p>
  </w:footnote>
  <w:footnote w:type="continuationSeparator" w:id="0">
    <w:p w:rsidR="005C1888" w:rsidRDefault="005C1888" w:rsidP="006714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888" w:rsidRPr="0079474A" w:rsidRDefault="005C1888" w:rsidP="0079474A">
    <w:pPr>
      <w:pStyle w:val="Header"/>
      <w:jc w:val="center"/>
      <w:rPr>
        <w:rFonts w:eastAsia="MS Mincho" w:cs="Times New Roman"/>
        <w:b/>
        <w:noProof/>
        <w:szCs w:val="24"/>
      </w:rPr>
    </w:pPr>
    <w:r w:rsidRPr="0079474A">
      <w:rPr>
        <w:rFonts w:eastAsia="MS Mincho" w:cs="Times New Roman"/>
        <w:b/>
        <w:noProof/>
        <w:szCs w:val="24"/>
      </w:rPr>
      <w:t xml:space="preserve">LIBERTY UNIVERSITY INSTITUTIONAL BIOSAFETY COMMITTEE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52348"/>
    <w:multiLevelType w:val="hybridMultilevel"/>
    <w:tmpl w:val="1E1C65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F4A42"/>
    <w:multiLevelType w:val="hybridMultilevel"/>
    <w:tmpl w:val="B26676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559F5"/>
    <w:multiLevelType w:val="hybridMultilevel"/>
    <w:tmpl w:val="3FDAEE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33731"/>
    <w:multiLevelType w:val="hybridMultilevel"/>
    <w:tmpl w:val="D83AA7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03028"/>
    <w:multiLevelType w:val="hybridMultilevel"/>
    <w:tmpl w:val="E8B40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A4048"/>
    <w:multiLevelType w:val="hybridMultilevel"/>
    <w:tmpl w:val="52248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E742F"/>
    <w:multiLevelType w:val="hybridMultilevel"/>
    <w:tmpl w:val="9DEC1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633F9"/>
    <w:multiLevelType w:val="hybridMultilevel"/>
    <w:tmpl w:val="1136C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52FBE"/>
    <w:multiLevelType w:val="hybridMultilevel"/>
    <w:tmpl w:val="802696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C37880"/>
    <w:multiLevelType w:val="hybridMultilevel"/>
    <w:tmpl w:val="6F907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10940"/>
    <w:multiLevelType w:val="hybridMultilevel"/>
    <w:tmpl w:val="5D842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BC1BF9"/>
    <w:multiLevelType w:val="hybridMultilevel"/>
    <w:tmpl w:val="A898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87035"/>
    <w:multiLevelType w:val="hybridMultilevel"/>
    <w:tmpl w:val="B0DC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452A9B"/>
    <w:multiLevelType w:val="hybridMultilevel"/>
    <w:tmpl w:val="D52A3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8"/>
  </w:num>
  <w:num w:numId="4">
    <w:abstractNumId w:val="6"/>
  </w:num>
  <w:num w:numId="5">
    <w:abstractNumId w:val="0"/>
  </w:num>
  <w:num w:numId="6">
    <w:abstractNumId w:val="10"/>
  </w:num>
  <w:num w:numId="7">
    <w:abstractNumId w:val="4"/>
  </w:num>
  <w:num w:numId="8">
    <w:abstractNumId w:val="7"/>
  </w:num>
  <w:num w:numId="9">
    <w:abstractNumId w:val="12"/>
  </w:num>
  <w:num w:numId="10">
    <w:abstractNumId w:val="1"/>
  </w:num>
  <w:num w:numId="11">
    <w:abstractNumId w:val="3"/>
  </w:num>
  <w:num w:numId="12">
    <w:abstractNumId w:val="2"/>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4A4"/>
    <w:rsid w:val="000043F1"/>
    <w:rsid w:val="00084B67"/>
    <w:rsid w:val="000D6E7D"/>
    <w:rsid w:val="000F737A"/>
    <w:rsid w:val="001169F3"/>
    <w:rsid w:val="00143D14"/>
    <w:rsid w:val="00222772"/>
    <w:rsid w:val="002562BA"/>
    <w:rsid w:val="002E116B"/>
    <w:rsid w:val="00306F4A"/>
    <w:rsid w:val="00364DD9"/>
    <w:rsid w:val="00383149"/>
    <w:rsid w:val="00552278"/>
    <w:rsid w:val="005C1888"/>
    <w:rsid w:val="005C6417"/>
    <w:rsid w:val="00612191"/>
    <w:rsid w:val="006714A4"/>
    <w:rsid w:val="006C4CFD"/>
    <w:rsid w:val="006C661C"/>
    <w:rsid w:val="006E0AE6"/>
    <w:rsid w:val="00765B7C"/>
    <w:rsid w:val="0079474A"/>
    <w:rsid w:val="007F3C7E"/>
    <w:rsid w:val="00825725"/>
    <w:rsid w:val="00870836"/>
    <w:rsid w:val="00875557"/>
    <w:rsid w:val="00993037"/>
    <w:rsid w:val="009C2DE5"/>
    <w:rsid w:val="00A43589"/>
    <w:rsid w:val="00AF2E5D"/>
    <w:rsid w:val="00BB215B"/>
    <w:rsid w:val="00C36DC5"/>
    <w:rsid w:val="00C5263E"/>
    <w:rsid w:val="00D00AE6"/>
    <w:rsid w:val="00D91EAB"/>
    <w:rsid w:val="00F4338B"/>
    <w:rsid w:val="00F51292"/>
    <w:rsid w:val="00F9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55D4F-EEC8-4D9D-92CA-209F3516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4A4"/>
  </w:style>
  <w:style w:type="paragraph" w:styleId="Footer">
    <w:name w:val="footer"/>
    <w:basedOn w:val="Normal"/>
    <w:link w:val="FooterChar"/>
    <w:uiPriority w:val="99"/>
    <w:unhideWhenUsed/>
    <w:rsid w:val="00671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4A4"/>
  </w:style>
  <w:style w:type="table" w:styleId="TableGrid">
    <w:name w:val="Table Grid"/>
    <w:basedOn w:val="TableNormal"/>
    <w:uiPriority w:val="59"/>
    <w:rsid w:val="00671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2E5D"/>
    <w:pPr>
      <w:ind w:left="720"/>
      <w:contextualSpacing/>
    </w:pPr>
  </w:style>
  <w:style w:type="paragraph" w:customStyle="1" w:styleId="NoParagraphStyle">
    <w:name w:val="[No Paragraph Style]"/>
    <w:rsid w:val="00AF2E5D"/>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customStyle="1" w:styleId="BasicParagraph">
    <w:name w:val="[Basic Paragraph]"/>
    <w:basedOn w:val="Normal"/>
    <w:uiPriority w:val="99"/>
    <w:rsid w:val="00AF2E5D"/>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NoSpacing">
    <w:name w:val="No Spacing"/>
    <w:uiPriority w:val="1"/>
    <w:qFormat/>
    <w:rsid w:val="00993037"/>
    <w:pPr>
      <w:spacing w:after="0" w:line="240" w:lineRule="auto"/>
    </w:pPr>
  </w:style>
  <w:style w:type="character" w:styleId="Hyperlink">
    <w:name w:val="Hyperlink"/>
    <w:basedOn w:val="DefaultParagraphFont"/>
    <w:uiPriority w:val="99"/>
    <w:unhideWhenUsed/>
    <w:rsid w:val="00F94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bc@libert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Connor A</dc:creator>
  <cp:keywords/>
  <dc:description/>
  <cp:lastModifiedBy>Bryant, Connor A</cp:lastModifiedBy>
  <cp:revision>3</cp:revision>
  <dcterms:created xsi:type="dcterms:W3CDTF">2016-08-05T17:20:00Z</dcterms:created>
  <dcterms:modified xsi:type="dcterms:W3CDTF">2016-08-05T17:44:00Z</dcterms:modified>
</cp:coreProperties>
</file>